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28BF" w:rsidRPr="004A28BF" w:rsidRDefault="004A28BF" w:rsidP="004A28BF">
      <w:pPr>
        <w:spacing w:line="240" w:lineRule="auto"/>
        <w:jc w:val="right"/>
        <w:rPr>
          <w:rFonts w:cs="Arial"/>
          <w:b/>
          <w:szCs w:val="24"/>
        </w:rPr>
      </w:pPr>
      <w:bookmarkStart w:id="0" w:name="_GoBack"/>
      <w:bookmarkEnd w:id="0"/>
      <w:r>
        <w:rPr>
          <w:rFonts w:cs="Arial"/>
          <w:b/>
          <w:szCs w:val="24"/>
        </w:rPr>
        <w:t>I</w:t>
      </w:r>
      <w:r w:rsidR="008957E1">
        <w:rPr>
          <w:rFonts w:cs="Arial"/>
          <w:b/>
          <w:szCs w:val="24"/>
        </w:rPr>
        <w:t>I</w:t>
      </w:r>
      <w:r>
        <w:rPr>
          <w:rFonts w:cs="Arial"/>
          <w:b/>
          <w:szCs w:val="24"/>
        </w:rPr>
        <w:t>.</w:t>
      </w:r>
    </w:p>
    <w:p w:rsidR="004A28BF" w:rsidRDefault="004A28BF" w:rsidP="004A28BF">
      <w:pPr>
        <w:spacing w:line="240" w:lineRule="auto"/>
        <w:jc w:val="right"/>
        <w:rPr>
          <w:rFonts w:cs="Arial"/>
          <w:b/>
          <w:szCs w:val="24"/>
          <w:u w:val="single"/>
        </w:rPr>
      </w:pPr>
    </w:p>
    <w:p w:rsidR="000E0C7B" w:rsidRPr="00545E5A" w:rsidRDefault="005D0B80" w:rsidP="00545E5A">
      <w:pPr>
        <w:spacing w:line="240" w:lineRule="auto"/>
        <w:jc w:val="center"/>
        <w:rPr>
          <w:rFonts w:cs="Arial"/>
          <w:b/>
          <w:szCs w:val="24"/>
          <w:u w:val="single"/>
        </w:rPr>
      </w:pPr>
      <w:r w:rsidRPr="00545E5A">
        <w:rPr>
          <w:rFonts w:cs="Arial"/>
          <w:b/>
          <w:szCs w:val="24"/>
          <w:u w:val="single"/>
        </w:rPr>
        <w:t>OPATŘENÍ KOMPENZUJÍCÍ ZTRÁTU PRACOVNÍCH MÍST V ÚSTECKÉM KRAJI V SOUVISLOSTI S ÚTLUMEM TĚŽBY HNĚDÉHO UHLÍ</w:t>
      </w:r>
    </w:p>
    <w:p w:rsidR="00C219A3" w:rsidRPr="00545E5A" w:rsidRDefault="00C219A3" w:rsidP="00545E5A">
      <w:pPr>
        <w:spacing w:line="240" w:lineRule="auto"/>
        <w:rPr>
          <w:rFonts w:cs="Arial"/>
          <w:b/>
          <w:szCs w:val="24"/>
        </w:rPr>
      </w:pPr>
    </w:p>
    <w:p w:rsidR="005D0B80" w:rsidRPr="00545E5A" w:rsidRDefault="005D0B80" w:rsidP="00545E5A">
      <w:pPr>
        <w:spacing w:line="240" w:lineRule="auto"/>
        <w:rPr>
          <w:rFonts w:cs="Arial"/>
          <w:szCs w:val="24"/>
        </w:rPr>
      </w:pPr>
      <w:r w:rsidRPr="00545E5A">
        <w:rPr>
          <w:rFonts w:cs="Arial"/>
          <w:szCs w:val="24"/>
        </w:rPr>
        <w:t>Na základě usnesení vlády České republiky ze dne 19. října 2015 č. 827 k řešení dalšího postupu územně ekologických limitů těžby hnědého uhlí v s</w:t>
      </w:r>
      <w:r w:rsidR="00545E5A">
        <w:rPr>
          <w:rFonts w:cs="Arial"/>
          <w:szCs w:val="24"/>
        </w:rPr>
        <w:t>everních Čechách vyhotovilo Ministerstvo práce a sociálních věcí (</w:t>
      </w:r>
      <w:r w:rsidR="00FC09AA">
        <w:rPr>
          <w:rFonts w:cs="Arial"/>
          <w:szCs w:val="24"/>
        </w:rPr>
        <w:t>dále jen „</w:t>
      </w:r>
      <w:r w:rsidR="00545E5A">
        <w:rPr>
          <w:rFonts w:cs="Arial"/>
          <w:szCs w:val="24"/>
        </w:rPr>
        <w:t>MPSV</w:t>
      </w:r>
      <w:r w:rsidR="00FC09AA">
        <w:rPr>
          <w:rFonts w:cs="Arial"/>
          <w:szCs w:val="24"/>
        </w:rPr>
        <w:t>“</w:t>
      </w:r>
      <w:r w:rsidR="00545E5A">
        <w:rPr>
          <w:rFonts w:cs="Arial"/>
          <w:szCs w:val="24"/>
        </w:rPr>
        <w:t>)</w:t>
      </w:r>
      <w:r w:rsidRPr="00545E5A">
        <w:rPr>
          <w:rFonts w:cs="Arial"/>
          <w:szCs w:val="24"/>
        </w:rPr>
        <w:t xml:space="preserve"> </w:t>
      </w:r>
      <w:r w:rsidR="00545E5A">
        <w:rPr>
          <w:rFonts w:cs="Arial"/>
          <w:szCs w:val="24"/>
        </w:rPr>
        <w:t>soubor</w:t>
      </w:r>
      <w:r w:rsidR="00C72AB0" w:rsidRPr="00545E5A">
        <w:rPr>
          <w:rFonts w:cs="Arial"/>
          <w:szCs w:val="24"/>
        </w:rPr>
        <w:t> </w:t>
      </w:r>
      <w:r w:rsidRPr="00545E5A">
        <w:rPr>
          <w:rFonts w:cs="Arial"/>
          <w:szCs w:val="24"/>
        </w:rPr>
        <w:t>opatření kompenzujících ztrátu pracovních míst v Ústeckém kraji v souvislosti s útlumem těžby hnědého uhlí.</w:t>
      </w:r>
    </w:p>
    <w:p w:rsidR="005D0B80" w:rsidRPr="00545E5A" w:rsidRDefault="005D0B80" w:rsidP="00545E5A">
      <w:pPr>
        <w:spacing w:line="240" w:lineRule="auto"/>
        <w:rPr>
          <w:rFonts w:cs="Arial"/>
          <w:b/>
          <w:szCs w:val="24"/>
        </w:rPr>
      </w:pPr>
    </w:p>
    <w:p w:rsidR="00C219A3" w:rsidRPr="00545E5A" w:rsidRDefault="00657F6D" w:rsidP="00545E5A">
      <w:pPr>
        <w:pStyle w:val="Odstavecseseznamem"/>
        <w:numPr>
          <w:ilvl w:val="0"/>
          <w:numId w:val="2"/>
        </w:numPr>
        <w:spacing w:line="240" w:lineRule="auto"/>
        <w:jc w:val="center"/>
        <w:rPr>
          <w:rFonts w:cs="Arial"/>
          <w:b/>
          <w:szCs w:val="24"/>
        </w:rPr>
      </w:pPr>
      <w:r w:rsidRPr="00545E5A">
        <w:rPr>
          <w:rFonts w:cs="Arial"/>
          <w:b/>
          <w:szCs w:val="24"/>
        </w:rPr>
        <w:t>VÝCHODISKA</w:t>
      </w:r>
    </w:p>
    <w:p w:rsidR="00C219A3" w:rsidRPr="00545E5A" w:rsidRDefault="00C219A3" w:rsidP="00545E5A">
      <w:pPr>
        <w:spacing w:line="240" w:lineRule="auto"/>
        <w:rPr>
          <w:rFonts w:cs="Arial"/>
          <w:szCs w:val="24"/>
        </w:rPr>
      </w:pPr>
    </w:p>
    <w:p w:rsidR="00C219A3" w:rsidRDefault="00C219A3" w:rsidP="00545E5A">
      <w:pPr>
        <w:numPr>
          <w:ilvl w:val="0"/>
          <w:numId w:val="3"/>
        </w:numPr>
        <w:spacing w:line="240" w:lineRule="auto"/>
        <w:contextualSpacing/>
        <w:rPr>
          <w:rFonts w:cs="Arial"/>
          <w:b/>
          <w:szCs w:val="24"/>
        </w:rPr>
      </w:pPr>
      <w:r w:rsidRPr="00545E5A">
        <w:rPr>
          <w:rFonts w:cs="Arial"/>
          <w:b/>
          <w:szCs w:val="24"/>
        </w:rPr>
        <w:t>Počet úbytku pracovních míst</w:t>
      </w:r>
    </w:p>
    <w:p w:rsidR="00545E5A" w:rsidRPr="00545E5A" w:rsidRDefault="00545E5A" w:rsidP="00545E5A">
      <w:pPr>
        <w:spacing w:line="240" w:lineRule="auto"/>
        <w:contextualSpacing/>
        <w:rPr>
          <w:rFonts w:cs="Arial"/>
          <w:b/>
          <w:szCs w:val="24"/>
        </w:rPr>
      </w:pPr>
    </w:p>
    <w:p w:rsidR="00C219A3" w:rsidRPr="00545E5A" w:rsidRDefault="00C219A3" w:rsidP="00545E5A">
      <w:pPr>
        <w:spacing w:line="240" w:lineRule="auto"/>
        <w:rPr>
          <w:rFonts w:cs="Arial"/>
          <w:szCs w:val="24"/>
        </w:rPr>
      </w:pPr>
      <w:r w:rsidRPr="00545E5A">
        <w:rPr>
          <w:rFonts w:cs="Arial"/>
          <w:szCs w:val="24"/>
        </w:rPr>
        <w:t>Útlum těžby hnědého uhlí na lomu ČSA je ze strany společnosti Severní energetická a.s. fázován na léta 2016 – 2021. Z dodaných podkladů vyplývá, že v tomto období dojde ke ztrátě celkem 1 932 pracovních míst v následujícím rozložení:</w:t>
      </w:r>
    </w:p>
    <w:p w:rsidR="00C219A3" w:rsidRPr="00545E5A" w:rsidRDefault="00C219A3" w:rsidP="00545E5A">
      <w:pPr>
        <w:spacing w:line="240" w:lineRule="auto"/>
        <w:rPr>
          <w:rFonts w:cs="Arial"/>
          <w:szCs w:val="24"/>
        </w:rPr>
      </w:pPr>
    </w:p>
    <w:tbl>
      <w:tblPr>
        <w:tblStyle w:val="Mkatabulky"/>
        <w:tblW w:w="0" w:type="auto"/>
        <w:tblLook w:val="04A0"/>
      </w:tblPr>
      <w:tblGrid>
        <w:gridCol w:w="1831"/>
        <w:gridCol w:w="1075"/>
        <w:gridCol w:w="1076"/>
        <w:gridCol w:w="1077"/>
        <w:gridCol w:w="1077"/>
        <w:gridCol w:w="1077"/>
        <w:gridCol w:w="1077"/>
        <w:gridCol w:w="998"/>
      </w:tblGrid>
      <w:tr w:rsidR="00C219A3" w:rsidRPr="00545E5A" w:rsidTr="004D2A8D">
        <w:tc>
          <w:tcPr>
            <w:tcW w:w="1722" w:type="dxa"/>
          </w:tcPr>
          <w:p w:rsidR="00C219A3" w:rsidRPr="00545E5A" w:rsidRDefault="00C219A3" w:rsidP="00545E5A">
            <w:pPr>
              <w:rPr>
                <w:rFonts w:cs="Arial"/>
                <w:szCs w:val="24"/>
              </w:rPr>
            </w:pPr>
            <w:r w:rsidRPr="00545E5A">
              <w:rPr>
                <w:rFonts w:cs="Arial"/>
                <w:szCs w:val="24"/>
              </w:rPr>
              <w:t>Rok</w:t>
            </w:r>
          </w:p>
        </w:tc>
        <w:tc>
          <w:tcPr>
            <w:tcW w:w="1093" w:type="dxa"/>
          </w:tcPr>
          <w:p w:rsidR="00C219A3" w:rsidRPr="00545E5A" w:rsidRDefault="00C219A3" w:rsidP="00545E5A">
            <w:pPr>
              <w:rPr>
                <w:rFonts w:cs="Arial"/>
                <w:szCs w:val="24"/>
              </w:rPr>
            </w:pPr>
            <w:r w:rsidRPr="00545E5A">
              <w:rPr>
                <w:rFonts w:cs="Arial"/>
                <w:szCs w:val="24"/>
              </w:rPr>
              <w:t>2016</w:t>
            </w:r>
          </w:p>
        </w:tc>
        <w:tc>
          <w:tcPr>
            <w:tcW w:w="1094" w:type="dxa"/>
          </w:tcPr>
          <w:p w:rsidR="00C219A3" w:rsidRPr="00545E5A" w:rsidRDefault="00C219A3" w:rsidP="00545E5A">
            <w:pPr>
              <w:rPr>
                <w:rFonts w:cs="Arial"/>
                <w:szCs w:val="24"/>
              </w:rPr>
            </w:pPr>
            <w:r w:rsidRPr="00545E5A">
              <w:rPr>
                <w:rFonts w:cs="Arial"/>
                <w:szCs w:val="24"/>
              </w:rPr>
              <w:t>2017</w:t>
            </w:r>
          </w:p>
        </w:tc>
        <w:tc>
          <w:tcPr>
            <w:tcW w:w="1094" w:type="dxa"/>
          </w:tcPr>
          <w:p w:rsidR="00C219A3" w:rsidRPr="00545E5A" w:rsidRDefault="00C219A3" w:rsidP="00545E5A">
            <w:pPr>
              <w:rPr>
                <w:rFonts w:cs="Arial"/>
                <w:szCs w:val="24"/>
              </w:rPr>
            </w:pPr>
            <w:r w:rsidRPr="00545E5A">
              <w:rPr>
                <w:rFonts w:cs="Arial"/>
                <w:szCs w:val="24"/>
              </w:rPr>
              <w:t>2018</w:t>
            </w:r>
          </w:p>
        </w:tc>
        <w:tc>
          <w:tcPr>
            <w:tcW w:w="1094" w:type="dxa"/>
          </w:tcPr>
          <w:p w:rsidR="00C219A3" w:rsidRPr="00545E5A" w:rsidRDefault="00C219A3" w:rsidP="00545E5A">
            <w:pPr>
              <w:rPr>
                <w:rFonts w:cs="Arial"/>
                <w:szCs w:val="24"/>
              </w:rPr>
            </w:pPr>
            <w:r w:rsidRPr="00545E5A">
              <w:rPr>
                <w:rFonts w:cs="Arial"/>
                <w:szCs w:val="24"/>
              </w:rPr>
              <w:t>2019</w:t>
            </w:r>
          </w:p>
        </w:tc>
        <w:tc>
          <w:tcPr>
            <w:tcW w:w="1094" w:type="dxa"/>
          </w:tcPr>
          <w:p w:rsidR="00C219A3" w:rsidRPr="00545E5A" w:rsidRDefault="00C219A3" w:rsidP="00545E5A">
            <w:pPr>
              <w:rPr>
                <w:rFonts w:cs="Arial"/>
                <w:szCs w:val="24"/>
              </w:rPr>
            </w:pPr>
            <w:r w:rsidRPr="00545E5A">
              <w:rPr>
                <w:rFonts w:cs="Arial"/>
                <w:szCs w:val="24"/>
              </w:rPr>
              <w:t>2020</w:t>
            </w:r>
          </w:p>
        </w:tc>
        <w:tc>
          <w:tcPr>
            <w:tcW w:w="1095" w:type="dxa"/>
          </w:tcPr>
          <w:p w:rsidR="00C219A3" w:rsidRPr="00545E5A" w:rsidRDefault="00C219A3" w:rsidP="00545E5A">
            <w:pPr>
              <w:rPr>
                <w:rFonts w:cs="Arial"/>
                <w:szCs w:val="24"/>
              </w:rPr>
            </w:pPr>
            <w:r w:rsidRPr="00545E5A">
              <w:rPr>
                <w:rFonts w:cs="Arial"/>
                <w:szCs w:val="24"/>
              </w:rPr>
              <w:t>2021</w:t>
            </w:r>
          </w:p>
        </w:tc>
        <w:tc>
          <w:tcPr>
            <w:tcW w:w="1002" w:type="dxa"/>
          </w:tcPr>
          <w:p w:rsidR="00C219A3" w:rsidRPr="00545E5A" w:rsidRDefault="00C219A3" w:rsidP="00545E5A">
            <w:pPr>
              <w:rPr>
                <w:rFonts w:cs="Arial"/>
                <w:szCs w:val="24"/>
              </w:rPr>
            </w:pPr>
            <w:r w:rsidRPr="00545E5A">
              <w:rPr>
                <w:rFonts w:cs="Arial"/>
                <w:szCs w:val="24"/>
              </w:rPr>
              <w:t>celkem</w:t>
            </w:r>
          </w:p>
        </w:tc>
      </w:tr>
      <w:tr w:rsidR="00C219A3" w:rsidRPr="00545E5A" w:rsidTr="004D2A8D">
        <w:tc>
          <w:tcPr>
            <w:tcW w:w="1722" w:type="dxa"/>
          </w:tcPr>
          <w:p w:rsidR="00C219A3" w:rsidRPr="00545E5A" w:rsidRDefault="00C219A3" w:rsidP="00545E5A">
            <w:pPr>
              <w:rPr>
                <w:rFonts w:cs="Arial"/>
                <w:szCs w:val="24"/>
              </w:rPr>
            </w:pPr>
            <w:r w:rsidRPr="00545E5A">
              <w:rPr>
                <w:rFonts w:cs="Arial"/>
                <w:szCs w:val="24"/>
              </w:rPr>
              <w:t>počet</w:t>
            </w:r>
          </w:p>
        </w:tc>
        <w:tc>
          <w:tcPr>
            <w:tcW w:w="1093" w:type="dxa"/>
          </w:tcPr>
          <w:p w:rsidR="00C219A3" w:rsidRPr="00545E5A" w:rsidRDefault="00C219A3" w:rsidP="00545E5A">
            <w:pPr>
              <w:rPr>
                <w:rFonts w:cs="Arial"/>
                <w:szCs w:val="24"/>
              </w:rPr>
            </w:pPr>
            <w:r w:rsidRPr="00545E5A">
              <w:rPr>
                <w:rFonts w:cs="Arial"/>
                <w:szCs w:val="24"/>
              </w:rPr>
              <w:t>421</w:t>
            </w:r>
          </w:p>
        </w:tc>
        <w:tc>
          <w:tcPr>
            <w:tcW w:w="1094" w:type="dxa"/>
          </w:tcPr>
          <w:p w:rsidR="00C219A3" w:rsidRPr="00545E5A" w:rsidRDefault="00C219A3" w:rsidP="00545E5A">
            <w:pPr>
              <w:rPr>
                <w:rFonts w:cs="Arial"/>
                <w:szCs w:val="24"/>
              </w:rPr>
            </w:pPr>
            <w:r w:rsidRPr="00545E5A">
              <w:rPr>
                <w:rFonts w:cs="Arial"/>
                <w:szCs w:val="24"/>
              </w:rPr>
              <w:t>105</w:t>
            </w:r>
          </w:p>
        </w:tc>
        <w:tc>
          <w:tcPr>
            <w:tcW w:w="1094" w:type="dxa"/>
          </w:tcPr>
          <w:p w:rsidR="00C219A3" w:rsidRPr="00545E5A" w:rsidRDefault="00C219A3" w:rsidP="00545E5A">
            <w:pPr>
              <w:rPr>
                <w:rFonts w:cs="Arial"/>
                <w:szCs w:val="24"/>
              </w:rPr>
            </w:pPr>
            <w:r w:rsidRPr="00545E5A">
              <w:rPr>
                <w:rFonts w:cs="Arial"/>
                <w:szCs w:val="24"/>
              </w:rPr>
              <w:t>336</w:t>
            </w:r>
          </w:p>
        </w:tc>
        <w:tc>
          <w:tcPr>
            <w:tcW w:w="1094" w:type="dxa"/>
          </w:tcPr>
          <w:p w:rsidR="00C219A3" w:rsidRPr="00545E5A" w:rsidRDefault="00C219A3" w:rsidP="00545E5A">
            <w:pPr>
              <w:rPr>
                <w:rFonts w:cs="Arial"/>
                <w:szCs w:val="24"/>
              </w:rPr>
            </w:pPr>
            <w:r w:rsidRPr="00545E5A">
              <w:rPr>
                <w:rFonts w:cs="Arial"/>
                <w:szCs w:val="24"/>
              </w:rPr>
              <w:t>101</w:t>
            </w:r>
          </w:p>
        </w:tc>
        <w:tc>
          <w:tcPr>
            <w:tcW w:w="1094" w:type="dxa"/>
          </w:tcPr>
          <w:p w:rsidR="00C219A3" w:rsidRPr="00545E5A" w:rsidRDefault="00C219A3" w:rsidP="00545E5A">
            <w:pPr>
              <w:rPr>
                <w:rFonts w:cs="Arial"/>
                <w:szCs w:val="24"/>
              </w:rPr>
            </w:pPr>
            <w:r w:rsidRPr="00545E5A">
              <w:rPr>
                <w:rFonts w:cs="Arial"/>
                <w:szCs w:val="24"/>
              </w:rPr>
              <w:t>409</w:t>
            </w:r>
          </w:p>
        </w:tc>
        <w:tc>
          <w:tcPr>
            <w:tcW w:w="1095" w:type="dxa"/>
          </w:tcPr>
          <w:p w:rsidR="00C219A3" w:rsidRPr="00545E5A" w:rsidRDefault="00C219A3" w:rsidP="00545E5A">
            <w:pPr>
              <w:rPr>
                <w:rFonts w:cs="Arial"/>
                <w:szCs w:val="24"/>
              </w:rPr>
            </w:pPr>
            <w:r w:rsidRPr="00545E5A">
              <w:rPr>
                <w:rFonts w:cs="Arial"/>
                <w:szCs w:val="24"/>
              </w:rPr>
              <w:t>560</w:t>
            </w:r>
          </w:p>
        </w:tc>
        <w:tc>
          <w:tcPr>
            <w:tcW w:w="1002" w:type="dxa"/>
          </w:tcPr>
          <w:p w:rsidR="00C219A3" w:rsidRPr="00545E5A" w:rsidRDefault="00C219A3" w:rsidP="00545E5A">
            <w:pPr>
              <w:rPr>
                <w:rFonts w:cs="Arial"/>
                <w:szCs w:val="24"/>
              </w:rPr>
            </w:pPr>
            <w:r w:rsidRPr="00545E5A">
              <w:rPr>
                <w:rFonts w:cs="Arial"/>
                <w:szCs w:val="24"/>
              </w:rPr>
              <w:t>1 932</w:t>
            </w:r>
          </w:p>
        </w:tc>
      </w:tr>
      <w:tr w:rsidR="00C219A3" w:rsidRPr="00545E5A" w:rsidTr="004D2A8D">
        <w:tc>
          <w:tcPr>
            <w:tcW w:w="1722" w:type="dxa"/>
          </w:tcPr>
          <w:p w:rsidR="00C219A3" w:rsidRPr="00545E5A" w:rsidRDefault="00C219A3" w:rsidP="00545E5A">
            <w:pPr>
              <w:jc w:val="right"/>
              <w:rPr>
                <w:rFonts w:cs="Arial"/>
                <w:szCs w:val="24"/>
              </w:rPr>
            </w:pPr>
            <w:r w:rsidRPr="00545E5A">
              <w:rPr>
                <w:rFonts w:cs="Arial"/>
                <w:szCs w:val="24"/>
              </w:rPr>
              <w:t>z toho důchod</w:t>
            </w:r>
          </w:p>
        </w:tc>
        <w:tc>
          <w:tcPr>
            <w:tcW w:w="1093" w:type="dxa"/>
          </w:tcPr>
          <w:p w:rsidR="00C219A3" w:rsidRPr="00545E5A" w:rsidRDefault="00C219A3" w:rsidP="00545E5A">
            <w:pPr>
              <w:jc w:val="right"/>
              <w:rPr>
                <w:rFonts w:cs="Arial"/>
                <w:szCs w:val="24"/>
              </w:rPr>
            </w:pPr>
            <w:r w:rsidRPr="00545E5A">
              <w:rPr>
                <w:rFonts w:cs="Arial"/>
                <w:szCs w:val="24"/>
              </w:rPr>
              <w:t>35</w:t>
            </w:r>
          </w:p>
        </w:tc>
        <w:tc>
          <w:tcPr>
            <w:tcW w:w="1094" w:type="dxa"/>
          </w:tcPr>
          <w:p w:rsidR="00C219A3" w:rsidRPr="00545E5A" w:rsidRDefault="00C219A3" w:rsidP="00545E5A">
            <w:pPr>
              <w:jc w:val="right"/>
              <w:rPr>
                <w:rFonts w:cs="Arial"/>
                <w:szCs w:val="24"/>
              </w:rPr>
            </w:pPr>
            <w:r w:rsidRPr="00545E5A">
              <w:rPr>
                <w:rFonts w:cs="Arial"/>
                <w:szCs w:val="24"/>
              </w:rPr>
              <w:t>10</w:t>
            </w:r>
          </w:p>
        </w:tc>
        <w:tc>
          <w:tcPr>
            <w:tcW w:w="1094" w:type="dxa"/>
          </w:tcPr>
          <w:p w:rsidR="00C219A3" w:rsidRPr="00545E5A" w:rsidRDefault="00C219A3" w:rsidP="00545E5A">
            <w:pPr>
              <w:jc w:val="right"/>
              <w:rPr>
                <w:rFonts w:cs="Arial"/>
                <w:szCs w:val="24"/>
              </w:rPr>
            </w:pPr>
            <w:r w:rsidRPr="00545E5A">
              <w:rPr>
                <w:rFonts w:cs="Arial"/>
                <w:szCs w:val="24"/>
              </w:rPr>
              <w:t>36</w:t>
            </w:r>
          </w:p>
        </w:tc>
        <w:tc>
          <w:tcPr>
            <w:tcW w:w="1094" w:type="dxa"/>
          </w:tcPr>
          <w:p w:rsidR="00C219A3" w:rsidRPr="00545E5A" w:rsidRDefault="00C219A3" w:rsidP="00545E5A">
            <w:pPr>
              <w:jc w:val="right"/>
              <w:rPr>
                <w:rFonts w:cs="Arial"/>
                <w:szCs w:val="24"/>
              </w:rPr>
            </w:pPr>
            <w:r w:rsidRPr="00545E5A">
              <w:rPr>
                <w:rFonts w:cs="Arial"/>
                <w:szCs w:val="24"/>
              </w:rPr>
              <w:t>9</w:t>
            </w:r>
          </w:p>
        </w:tc>
        <w:tc>
          <w:tcPr>
            <w:tcW w:w="1094" w:type="dxa"/>
          </w:tcPr>
          <w:p w:rsidR="00C219A3" w:rsidRPr="00545E5A" w:rsidRDefault="00C219A3" w:rsidP="00545E5A">
            <w:pPr>
              <w:jc w:val="right"/>
              <w:rPr>
                <w:rFonts w:cs="Arial"/>
                <w:szCs w:val="24"/>
              </w:rPr>
            </w:pPr>
            <w:r w:rsidRPr="00545E5A">
              <w:rPr>
                <w:rFonts w:cs="Arial"/>
                <w:szCs w:val="24"/>
              </w:rPr>
              <w:t>37</w:t>
            </w:r>
          </w:p>
        </w:tc>
        <w:tc>
          <w:tcPr>
            <w:tcW w:w="1095" w:type="dxa"/>
          </w:tcPr>
          <w:p w:rsidR="00C219A3" w:rsidRPr="00545E5A" w:rsidRDefault="00C219A3" w:rsidP="00545E5A">
            <w:pPr>
              <w:jc w:val="right"/>
              <w:rPr>
                <w:rFonts w:cs="Arial"/>
                <w:szCs w:val="24"/>
              </w:rPr>
            </w:pPr>
            <w:r w:rsidRPr="00545E5A">
              <w:rPr>
                <w:rFonts w:cs="Arial"/>
                <w:szCs w:val="24"/>
              </w:rPr>
              <w:t>36</w:t>
            </w:r>
          </w:p>
        </w:tc>
        <w:tc>
          <w:tcPr>
            <w:tcW w:w="1002" w:type="dxa"/>
          </w:tcPr>
          <w:p w:rsidR="00C219A3" w:rsidRPr="00545E5A" w:rsidRDefault="00E5035A" w:rsidP="00545E5A">
            <w:pPr>
              <w:jc w:val="right"/>
              <w:rPr>
                <w:rFonts w:cs="Arial"/>
                <w:szCs w:val="24"/>
              </w:rPr>
            </w:pPr>
            <w:r>
              <w:rPr>
                <w:rFonts w:cs="Arial"/>
                <w:szCs w:val="24"/>
              </w:rPr>
              <w:t>163</w:t>
            </w:r>
          </w:p>
        </w:tc>
      </w:tr>
      <w:tr w:rsidR="00C219A3" w:rsidRPr="00545E5A" w:rsidTr="004D2A8D">
        <w:tc>
          <w:tcPr>
            <w:tcW w:w="1722" w:type="dxa"/>
          </w:tcPr>
          <w:p w:rsidR="00C219A3" w:rsidRPr="00545E5A" w:rsidRDefault="00C219A3" w:rsidP="00545E5A">
            <w:pPr>
              <w:jc w:val="right"/>
              <w:rPr>
                <w:rFonts w:cs="Arial"/>
                <w:szCs w:val="24"/>
              </w:rPr>
            </w:pPr>
            <w:r w:rsidRPr="00545E5A">
              <w:rPr>
                <w:rFonts w:cs="Arial"/>
                <w:szCs w:val="24"/>
              </w:rPr>
              <w:t>nezaměstnanost</w:t>
            </w:r>
          </w:p>
        </w:tc>
        <w:tc>
          <w:tcPr>
            <w:tcW w:w="1093" w:type="dxa"/>
          </w:tcPr>
          <w:p w:rsidR="00C219A3" w:rsidRPr="00545E5A" w:rsidRDefault="00C219A3" w:rsidP="00545E5A">
            <w:pPr>
              <w:jc w:val="right"/>
              <w:rPr>
                <w:rFonts w:cs="Arial"/>
                <w:szCs w:val="24"/>
              </w:rPr>
            </w:pPr>
            <w:r w:rsidRPr="00545E5A">
              <w:rPr>
                <w:rFonts w:cs="Arial"/>
                <w:szCs w:val="24"/>
              </w:rPr>
              <w:t>386</w:t>
            </w:r>
          </w:p>
        </w:tc>
        <w:tc>
          <w:tcPr>
            <w:tcW w:w="1094" w:type="dxa"/>
          </w:tcPr>
          <w:p w:rsidR="00C219A3" w:rsidRPr="00545E5A" w:rsidRDefault="00C219A3" w:rsidP="00545E5A">
            <w:pPr>
              <w:jc w:val="right"/>
              <w:rPr>
                <w:rFonts w:cs="Arial"/>
                <w:szCs w:val="24"/>
              </w:rPr>
            </w:pPr>
            <w:r w:rsidRPr="00545E5A">
              <w:rPr>
                <w:rFonts w:cs="Arial"/>
                <w:szCs w:val="24"/>
              </w:rPr>
              <w:t>95</w:t>
            </w:r>
          </w:p>
        </w:tc>
        <w:tc>
          <w:tcPr>
            <w:tcW w:w="1094" w:type="dxa"/>
          </w:tcPr>
          <w:p w:rsidR="00C219A3" w:rsidRPr="00545E5A" w:rsidRDefault="00C219A3" w:rsidP="00545E5A">
            <w:pPr>
              <w:jc w:val="right"/>
              <w:rPr>
                <w:rFonts w:cs="Arial"/>
                <w:szCs w:val="24"/>
              </w:rPr>
            </w:pPr>
            <w:r w:rsidRPr="00545E5A">
              <w:rPr>
                <w:rFonts w:cs="Arial"/>
                <w:szCs w:val="24"/>
              </w:rPr>
              <w:t>300</w:t>
            </w:r>
          </w:p>
        </w:tc>
        <w:tc>
          <w:tcPr>
            <w:tcW w:w="1094" w:type="dxa"/>
          </w:tcPr>
          <w:p w:rsidR="00C219A3" w:rsidRPr="00545E5A" w:rsidRDefault="00C219A3" w:rsidP="00545E5A">
            <w:pPr>
              <w:jc w:val="right"/>
              <w:rPr>
                <w:rFonts w:cs="Arial"/>
                <w:szCs w:val="24"/>
              </w:rPr>
            </w:pPr>
            <w:r w:rsidRPr="00545E5A">
              <w:rPr>
                <w:rFonts w:cs="Arial"/>
                <w:szCs w:val="24"/>
              </w:rPr>
              <w:t>92</w:t>
            </w:r>
          </w:p>
        </w:tc>
        <w:tc>
          <w:tcPr>
            <w:tcW w:w="1094" w:type="dxa"/>
          </w:tcPr>
          <w:p w:rsidR="00C219A3" w:rsidRPr="00545E5A" w:rsidRDefault="00C219A3" w:rsidP="00545E5A">
            <w:pPr>
              <w:jc w:val="right"/>
              <w:rPr>
                <w:rFonts w:cs="Arial"/>
                <w:szCs w:val="24"/>
              </w:rPr>
            </w:pPr>
            <w:r w:rsidRPr="00545E5A">
              <w:rPr>
                <w:rFonts w:cs="Arial"/>
                <w:szCs w:val="24"/>
              </w:rPr>
              <w:t>372</w:t>
            </w:r>
          </w:p>
        </w:tc>
        <w:tc>
          <w:tcPr>
            <w:tcW w:w="1095" w:type="dxa"/>
          </w:tcPr>
          <w:p w:rsidR="00C219A3" w:rsidRPr="00545E5A" w:rsidRDefault="00C219A3" w:rsidP="00545E5A">
            <w:pPr>
              <w:jc w:val="right"/>
              <w:rPr>
                <w:rFonts w:cs="Arial"/>
                <w:szCs w:val="24"/>
              </w:rPr>
            </w:pPr>
            <w:r w:rsidRPr="00545E5A">
              <w:rPr>
                <w:rFonts w:cs="Arial"/>
                <w:szCs w:val="24"/>
              </w:rPr>
              <w:t>524</w:t>
            </w:r>
          </w:p>
        </w:tc>
        <w:tc>
          <w:tcPr>
            <w:tcW w:w="1002" w:type="dxa"/>
          </w:tcPr>
          <w:p w:rsidR="00C219A3" w:rsidRPr="00545E5A" w:rsidRDefault="00C219A3" w:rsidP="00545E5A">
            <w:pPr>
              <w:jc w:val="right"/>
              <w:rPr>
                <w:rFonts w:cs="Arial"/>
                <w:szCs w:val="24"/>
              </w:rPr>
            </w:pPr>
            <w:r w:rsidRPr="00545E5A">
              <w:rPr>
                <w:rFonts w:cs="Arial"/>
                <w:szCs w:val="24"/>
              </w:rPr>
              <w:t>1 769</w:t>
            </w:r>
          </w:p>
        </w:tc>
      </w:tr>
    </w:tbl>
    <w:p w:rsidR="00C219A3" w:rsidRPr="00545E5A" w:rsidRDefault="00C219A3" w:rsidP="00545E5A">
      <w:pPr>
        <w:spacing w:line="240" w:lineRule="auto"/>
        <w:rPr>
          <w:rFonts w:cs="Arial"/>
          <w:szCs w:val="24"/>
        </w:rPr>
      </w:pPr>
    </w:p>
    <w:p w:rsidR="00C219A3" w:rsidRPr="00545E5A" w:rsidRDefault="00C219A3" w:rsidP="00545E5A">
      <w:pPr>
        <w:spacing w:line="240" w:lineRule="auto"/>
        <w:rPr>
          <w:rFonts w:cs="Arial"/>
          <w:szCs w:val="24"/>
        </w:rPr>
      </w:pPr>
      <w:r w:rsidRPr="00545E5A">
        <w:rPr>
          <w:rFonts w:cs="Arial"/>
          <w:szCs w:val="24"/>
        </w:rPr>
        <w:t>Celkem lze tedy bez dalších aktivit předpokládat vznik nezaměstnanosti u 1 </w:t>
      </w:r>
      <w:r w:rsidR="00CB3071" w:rsidRPr="00545E5A">
        <w:rPr>
          <w:rFonts w:cs="Arial"/>
          <w:szCs w:val="24"/>
        </w:rPr>
        <w:t>7</w:t>
      </w:r>
      <w:r w:rsidR="00CB3071">
        <w:rPr>
          <w:rFonts w:cs="Arial"/>
          <w:szCs w:val="24"/>
        </w:rPr>
        <w:t>69</w:t>
      </w:r>
      <w:r w:rsidR="00CB3071" w:rsidRPr="00545E5A">
        <w:rPr>
          <w:rFonts w:cs="Arial"/>
          <w:szCs w:val="24"/>
        </w:rPr>
        <w:t xml:space="preserve"> </w:t>
      </w:r>
      <w:r w:rsidRPr="00545E5A">
        <w:rPr>
          <w:rFonts w:cs="Arial"/>
          <w:szCs w:val="24"/>
        </w:rPr>
        <w:t>osob. Zároveň však dojde v důsledku přirozené fluktuace k potřebě náhrady zaměstnanců opouštějících ostatní těžební společnosti, které nejsou dotčeny rozhodnutím vlády o zachování územně ekologických limitů na dole ČSA. V případě společnosti Severočeské doly je do roku 2021 předpokládána poptá</w:t>
      </w:r>
      <w:r w:rsidR="00545E5A">
        <w:rPr>
          <w:rFonts w:cs="Arial"/>
          <w:szCs w:val="24"/>
        </w:rPr>
        <w:t>vka po celkem 624 zaměstnancích.</w:t>
      </w:r>
      <w:r w:rsidRPr="00545E5A">
        <w:rPr>
          <w:rFonts w:cs="Arial"/>
          <w:szCs w:val="24"/>
        </w:rPr>
        <w:t xml:space="preserve"> Celkové rozložení poptávky v jednotlivých letech z dostupných zdrojů viz následující tabulka:</w:t>
      </w:r>
    </w:p>
    <w:p w:rsidR="00C219A3" w:rsidRPr="00545E5A" w:rsidRDefault="00C219A3" w:rsidP="00545E5A">
      <w:pPr>
        <w:spacing w:line="240" w:lineRule="auto"/>
        <w:rPr>
          <w:rFonts w:cs="Arial"/>
          <w:szCs w:val="24"/>
        </w:rPr>
      </w:pPr>
    </w:p>
    <w:tbl>
      <w:tblPr>
        <w:tblStyle w:val="Mkatabulky"/>
        <w:tblW w:w="0" w:type="auto"/>
        <w:tblLook w:val="04A0"/>
      </w:tblPr>
      <w:tblGrid>
        <w:gridCol w:w="1722"/>
        <w:gridCol w:w="1093"/>
        <w:gridCol w:w="1094"/>
        <w:gridCol w:w="1094"/>
        <w:gridCol w:w="1094"/>
        <w:gridCol w:w="1094"/>
        <w:gridCol w:w="1095"/>
        <w:gridCol w:w="1002"/>
      </w:tblGrid>
      <w:tr w:rsidR="00C219A3" w:rsidRPr="00545E5A" w:rsidTr="004D2A8D">
        <w:tc>
          <w:tcPr>
            <w:tcW w:w="1722" w:type="dxa"/>
          </w:tcPr>
          <w:p w:rsidR="00C219A3" w:rsidRPr="00545E5A" w:rsidRDefault="00C219A3" w:rsidP="00545E5A">
            <w:pPr>
              <w:rPr>
                <w:rFonts w:cs="Arial"/>
                <w:szCs w:val="24"/>
              </w:rPr>
            </w:pPr>
            <w:r w:rsidRPr="00545E5A">
              <w:rPr>
                <w:rFonts w:cs="Arial"/>
                <w:szCs w:val="24"/>
              </w:rPr>
              <w:t>Rok</w:t>
            </w:r>
          </w:p>
        </w:tc>
        <w:tc>
          <w:tcPr>
            <w:tcW w:w="1093" w:type="dxa"/>
          </w:tcPr>
          <w:p w:rsidR="00C219A3" w:rsidRPr="00545E5A" w:rsidRDefault="00C219A3" w:rsidP="00545E5A">
            <w:pPr>
              <w:rPr>
                <w:rFonts w:cs="Arial"/>
                <w:szCs w:val="24"/>
              </w:rPr>
            </w:pPr>
            <w:r w:rsidRPr="00545E5A">
              <w:rPr>
                <w:rFonts w:cs="Arial"/>
                <w:szCs w:val="24"/>
              </w:rPr>
              <w:t>2016</w:t>
            </w:r>
          </w:p>
        </w:tc>
        <w:tc>
          <w:tcPr>
            <w:tcW w:w="1094" w:type="dxa"/>
          </w:tcPr>
          <w:p w:rsidR="00C219A3" w:rsidRPr="00545E5A" w:rsidRDefault="00C219A3" w:rsidP="00545E5A">
            <w:pPr>
              <w:rPr>
                <w:rFonts w:cs="Arial"/>
                <w:szCs w:val="24"/>
              </w:rPr>
            </w:pPr>
            <w:r w:rsidRPr="00545E5A">
              <w:rPr>
                <w:rFonts w:cs="Arial"/>
                <w:szCs w:val="24"/>
              </w:rPr>
              <w:t>2017</w:t>
            </w:r>
          </w:p>
        </w:tc>
        <w:tc>
          <w:tcPr>
            <w:tcW w:w="1094" w:type="dxa"/>
          </w:tcPr>
          <w:p w:rsidR="00C219A3" w:rsidRPr="00545E5A" w:rsidRDefault="00C219A3" w:rsidP="00545E5A">
            <w:pPr>
              <w:rPr>
                <w:rFonts w:cs="Arial"/>
                <w:szCs w:val="24"/>
              </w:rPr>
            </w:pPr>
            <w:r w:rsidRPr="00545E5A">
              <w:rPr>
                <w:rFonts w:cs="Arial"/>
                <w:szCs w:val="24"/>
              </w:rPr>
              <w:t>2018</w:t>
            </w:r>
          </w:p>
        </w:tc>
        <w:tc>
          <w:tcPr>
            <w:tcW w:w="1094" w:type="dxa"/>
          </w:tcPr>
          <w:p w:rsidR="00C219A3" w:rsidRPr="00545E5A" w:rsidRDefault="00C219A3" w:rsidP="00545E5A">
            <w:pPr>
              <w:rPr>
                <w:rFonts w:cs="Arial"/>
                <w:szCs w:val="24"/>
              </w:rPr>
            </w:pPr>
            <w:r w:rsidRPr="00545E5A">
              <w:rPr>
                <w:rFonts w:cs="Arial"/>
                <w:szCs w:val="24"/>
              </w:rPr>
              <w:t>2019</w:t>
            </w:r>
          </w:p>
        </w:tc>
        <w:tc>
          <w:tcPr>
            <w:tcW w:w="1094" w:type="dxa"/>
          </w:tcPr>
          <w:p w:rsidR="00C219A3" w:rsidRPr="00545E5A" w:rsidRDefault="00C219A3" w:rsidP="00545E5A">
            <w:pPr>
              <w:rPr>
                <w:rFonts w:cs="Arial"/>
                <w:szCs w:val="24"/>
              </w:rPr>
            </w:pPr>
            <w:r w:rsidRPr="00545E5A">
              <w:rPr>
                <w:rFonts w:cs="Arial"/>
                <w:szCs w:val="24"/>
              </w:rPr>
              <w:t>2020</w:t>
            </w:r>
          </w:p>
        </w:tc>
        <w:tc>
          <w:tcPr>
            <w:tcW w:w="1095" w:type="dxa"/>
          </w:tcPr>
          <w:p w:rsidR="00C219A3" w:rsidRPr="00545E5A" w:rsidRDefault="00C219A3" w:rsidP="00545E5A">
            <w:pPr>
              <w:rPr>
                <w:rFonts w:cs="Arial"/>
                <w:szCs w:val="24"/>
              </w:rPr>
            </w:pPr>
            <w:r w:rsidRPr="00545E5A">
              <w:rPr>
                <w:rFonts w:cs="Arial"/>
                <w:szCs w:val="24"/>
              </w:rPr>
              <w:t>2021</w:t>
            </w:r>
          </w:p>
        </w:tc>
        <w:tc>
          <w:tcPr>
            <w:tcW w:w="1002" w:type="dxa"/>
          </w:tcPr>
          <w:p w:rsidR="00C219A3" w:rsidRPr="00545E5A" w:rsidRDefault="00C219A3" w:rsidP="00545E5A">
            <w:pPr>
              <w:rPr>
                <w:rFonts w:cs="Arial"/>
                <w:szCs w:val="24"/>
              </w:rPr>
            </w:pPr>
            <w:r w:rsidRPr="00545E5A">
              <w:rPr>
                <w:rFonts w:cs="Arial"/>
                <w:szCs w:val="24"/>
              </w:rPr>
              <w:t>celkem</w:t>
            </w:r>
          </w:p>
        </w:tc>
      </w:tr>
      <w:tr w:rsidR="00C219A3" w:rsidRPr="00545E5A" w:rsidTr="004D2A8D">
        <w:tc>
          <w:tcPr>
            <w:tcW w:w="1722" w:type="dxa"/>
          </w:tcPr>
          <w:p w:rsidR="00C219A3" w:rsidRPr="00545E5A" w:rsidRDefault="00C219A3" w:rsidP="00545E5A">
            <w:pPr>
              <w:rPr>
                <w:rFonts w:cs="Arial"/>
                <w:szCs w:val="24"/>
              </w:rPr>
            </w:pPr>
            <w:r w:rsidRPr="00545E5A">
              <w:rPr>
                <w:rFonts w:cs="Arial"/>
                <w:szCs w:val="24"/>
              </w:rPr>
              <w:t>Počet SD</w:t>
            </w:r>
          </w:p>
        </w:tc>
        <w:tc>
          <w:tcPr>
            <w:tcW w:w="1093" w:type="dxa"/>
          </w:tcPr>
          <w:p w:rsidR="00C219A3" w:rsidRPr="00545E5A" w:rsidRDefault="00C219A3" w:rsidP="00545E5A">
            <w:pPr>
              <w:rPr>
                <w:rFonts w:cs="Arial"/>
                <w:szCs w:val="24"/>
              </w:rPr>
            </w:pPr>
            <w:r w:rsidRPr="00545E5A">
              <w:rPr>
                <w:rFonts w:cs="Arial"/>
                <w:szCs w:val="24"/>
              </w:rPr>
              <w:t>79</w:t>
            </w:r>
          </w:p>
        </w:tc>
        <w:tc>
          <w:tcPr>
            <w:tcW w:w="1094" w:type="dxa"/>
          </w:tcPr>
          <w:p w:rsidR="00C219A3" w:rsidRPr="00545E5A" w:rsidRDefault="00C219A3" w:rsidP="00545E5A">
            <w:pPr>
              <w:rPr>
                <w:rFonts w:cs="Arial"/>
                <w:szCs w:val="24"/>
              </w:rPr>
            </w:pPr>
            <w:r w:rsidRPr="00545E5A">
              <w:rPr>
                <w:rFonts w:cs="Arial"/>
                <w:szCs w:val="24"/>
              </w:rPr>
              <w:t>80</w:t>
            </w:r>
          </w:p>
        </w:tc>
        <w:tc>
          <w:tcPr>
            <w:tcW w:w="1094" w:type="dxa"/>
          </w:tcPr>
          <w:p w:rsidR="00C219A3" w:rsidRPr="00545E5A" w:rsidRDefault="00C219A3" w:rsidP="00545E5A">
            <w:pPr>
              <w:rPr>
                <w:rFonts w:cs="Arial"/>
                <w:szCs w:val="24"/>
              </w:rPr>
            </w:pPr>
            <w:r w:rsidRPr="00545E5A">
              <w:rPr>
                <w:rFonts w:cs="Arial"/>
                <w:szCs w:val="24"/>
              </w:rPr>
              <w:t>96</w:t>
            </w:r>
          </w:p>
        </w:tc>
        <w:tc>
          <w:tcPr>
            <w:tcW w:w="1094" w:type="dxa"/>
          </w:tcPr>
          <w:p w:rsidR="00C219A3" w:rsidRPr="00545E5A" w:rsidRDefault="00C219A3" w:rsidP="00545E5A">
            <w:pPr>
              <w:rPr>
                <w:rFonts w:cs="Arial"/>
                <w:szCs w:val="24"/>
              </w:rPr>
            </w:pPr>
            <w:r w:rsidRPr="00545E5A">
              <w:rPr>
                <w:rFonts w:cs="Arial"/>
                <w:szCs w:val="24"/>
              </w:rPr>
              <w:t>117</w:t>
            </w:r>
          </w:p>
        </w:tc>
        <w:tc>
          <w:tcPr>
            <w:tcW w:w="1094" w:type="dxa"/>
          </w:tcPr>
          <w:p w:rsidR="00C219A3" w:rsidRPr="00545E5A" w:rsidRDefault="00C219A3" w:rsidP="00545E5A">
            <w:pPr>
              <w:rPr>
                <w:rFonts w:cs="Arial"/>
                <w:szCs w:val="24"/>
              </w:rPr>
            </w:pPr>
            <w:r w:rsidRPr="00545E5A">
              <w:rPr>
                <w:rFonts w:cs="Arial"/>
                <w:szCs w:val="24"/>
              </w:rPr>
              <w:t>121</w:t>
            </w:r>
          </w:p>
        </w:tc>
        <w:tc>
          <w:tcPr>
            <w:tcW w:w="1095" w:type="dxa"/>
          </w:tcPr>
          <w:p w:rsidR="00C219A3" w:rsidRPr="00545E5A" w:rsidRDefault="00C219A3" w:rsidP="00545E5A">
            <w:pPr>
              <w:rPr>
                <w:rFonts w:cs="Arial"/>
                <w:szCs w:val="24"/>
              </w:rPr>
            </w:pPr>
            <w:r w:rsidRPr="00545E5A">
              <w:rPr>
                <w:rFonts w:cs="Arial"/>
                <w:szCs w:val="24"/>
              </w:rPr>
              <w:t>131</w:t>
            </w:r>
          </w:p>
        </w:tc>
        <w:tc>
          <w:tcPr>
            <w:tcW w:w="1002" w:type="dxa"/>
          </w:tcPr>
          <w:p w:rsidR="00C219A3" w:rsidRPr="00545E5A" w:rsidRDefault="00C219A3" w:rsidP="00545E5A">
            <w:pPr>
              <w:rPr>
                <w:rFonts w:cs="Arial"/>
                <w:szCs w:val="24"/>
              </w:rPr>
            </w:pPr>
            <w:r w:rsidRPr="00545E5A">
              <w:rPr>
                <w:rFonts w:cs="Arial"/>
                <w:szCs w:val="24"/>
              </w:rPr>
              <w:t>624</w:t>
            </w:r>
          </w:p>
        </w:tc>
      </w:tr>
    </w:tbl>
    <w:p w:rsidR="00C219A3" w:rsidRPr="00545E5A" w:rsidRDefault="00C219A3" w:rsidP="00545E5A">
      <w:pPr>
        <w:spacing w:line="240" w:lineRule="auto"/>
        <w:rPr>
          <w:rFonts w:cs="Arial"/>
          <w:szCs w:val="24"/>
        </w:rPr>
      </w:pPr>
    </w:p>
    <w:p w:rsidR="00C219A3" w:rsidRPr="00545E5A" w:rsidRDefault="00C219A3" w:rsidP="00545E5A">
      <w:pPr>
        <w:spacing w:line="240" w:lineRule="auto"/>
        <w:rPr>
          <w:rFonts w:cs="Arial"/>
          <w:szCs w:val="24"/>
        </w:rPr>
      </w:pPr>
      <w:r w:rsidRPr="00545E5A">
        <w:rPr>
          <w:rFonts w:cs="Arial"/>
          <w:szCs w:val="24"/>
        </w:rPr>
        <w:t>Z globálního hlediska tedy může dojít v letech 2016 až 2021 ke vzniku nezaměstnanosti (resp. nezaměstnanosti osob, které nenaleznou pracovní uplatnění v jiných těžebních společnostech) u celkem 1 </w:t>
      </w:r>
      <w:r w:rsidR="00CB3071">
        <w:rPr>
          <w:rFonts w:cs="Arial"/>
          <w:szCs w:val="24"/>
        </w:rPr>
        <w:t>145</w:t>
      </w:r>
      <w:r w:rsidR="00CB3071" w:rsidRPr="00545E5A">
        <w:rPr>
          <w:rFonts w:cs="Arial"/>
          <w:szCs w:val="24"/>
        </w:rPr>
        <w:t xml:space="preserve"> </w:t>
      </w:r>
      <w:r w:rsidR="00C12DC1">
        <w:rPr>
          <w:rFonts w:cs="Arial"/>
          <w:szCs w:val="24"/>
        </w:rPr>
        <w:t>zaměstnanců</w:t>
      </w:r>
      <w:r w:rsidRPr="00545E5A">
        <w:rPr>
          <w:rFonts w:cs="Arial"/>
          <w:szCs w:val="24"/>
        </w:rPr>
        <w:t xml:space="preserve"> pracujících na lomu ČSA. Při optimalizaci struktury propouštěných osob na jedné straně a náboru obdobné struktury zaměstnanců na straně druhé by rozložení v čase vypadalo následovně:</w:t>
      </w:r>
    </w:p>
    <w:p w:rsidR="00C219A3" w:rsidRPr="00545E5A" w:rsidRDefault="00C219A3" w:rsidP="00545E5A">
      <w:pPr>
        <w:spacing w:line="240" w:lineRule="auto"/>
        <w:rPr>
          <w:rFonts w:cs="Arial"/>
          <w:szCs w:val="24"/>
        </w:rPr>
      </w:pPr>
    </w:p>
    <w:tbl>
      <w:tblPr>
        <w:tblStyle w:val="Mkatabulky"/>
        <w:tblW w:w="0" w:type="auto"/>
        <w:tblLook w:val="04A0"/>
      </w:tblPr>
      <w:tblGrid>
        <w:gridCol w:w="1722"/>
        <w:gridCol w:w="1093"/>
        <w:gridCol w:w="1094"/>
        <w:gridCol w:w="1094"/>
        <w:gridCol w:w="1094"/>
        <w:gridCol w:w="1094"/>
        <w:gridCol w:w="1095"/>
        <w:gridCol w:w="1002"/>
      </w:tblGrid>
      <w:tr w:rsidR="00C219A3" w:rsidRPr="00545E5A" w:rsidTr="004D2A8D">
        <w:trPr>
          <w:trHeight w:val="316"/>
        </w:trPr>
        <w:tc>
          <w:tcPr>
            <w:tcW w:w="1722" w:type="dxa"/>
          </w:tcPr>
          <w:p w:rsidR="00C219A3" w:rsidRPr="00545E5A" w:rsidRDefault="00C219A3" w:rsidP="00545E5A">
            <w:pPr>
              <w:rPr>
                <w:rFonts w:cs="Arial"/>
                <w:szCs w:val="24"/>
              </w:rPr>
            </w:pPr>
            <w:r w:rsidRPr="00545E5A">
              <w:rPr>
                <w:rFonts w:cs="Arial"/>
                <w:szCs w:val="24"/>
              </w:rPr>
              <w:t>Rok</w:t>
            </w:r>
          </w:p>
        </w:tc>
        <w:tc>
          <w:tcPr>
            <w:tcW w:w="1093" w:type="dxa"/>
          </w:tcPr>
          <w:p w:rsidR="00C219A3" w:rsidRPr="00545E5A" w:rsidRDefault="00C219A3" w:rsidP="00545E5A">
            <w:pPr>
              <w:rPr>
                <w:rFonts w:cs="Arial"/>
                <w:szCs w:val="24"/>
              </w:rPr>
            </w:pPr>
            <w:r w:rsidRPr="00545E5A">
              <w:rPr>
                <w:rFonts w:cs="Arial"/>
                <w:szCs w:val="24"/>
              </w:rPr>
              <w:t>2016</w:t>
            </w:r>
          </w:p>
        </w:tc>
        <w:tc>
          <w:tcPr>
            <w:tcW w:w="1094" w:type="dxa"/>
          </w:tcPr>
          <w:p w:rsidR="00C219A3" w:rsidRPr="00545E5A" w:rsidRDefault="00C219A3" w:rsidP="00545E5A">
            <w:pPr>
              <w:rPr>
                <w:rFonts w:cs="Arial"/>
                <w:szCs w:val="24"/>
              </w:rPr>
            </w:pPr>
            <w:r w:rsidRPr="00545E5A">
              <w:rPr>
                <w:rFonts w:cs="Arial"/>
                <w:szCs w:val="24"/>
              </w:rPr>
              <w:t>2017</w:t>
            </w:r>
          </w:p>
        </w:tc>
        <w:tc>
          <w:tcPr>
            <w:tcW w:w="1094" w:type="dxa"/>
          </w:tcPr>
          <w:p w:rsidR="00C219A3" w:rsidRPr="00545E5A" w:rsidRDefault="00C219A3" w:rsidP="00545E5A">
            <w:pPr>
              <w:rPr>
                <w:rFonts w:cs="Arial"/>
                <w:szCs w:val="24"/>
              </w:rPr>
            </w:pPr>
            <w:r w:rsidRPr="00545E5A">
              <w:rPr>
                <w:rFonts w:cs="Arial"/>
                <w:szCs w:val="24"/>
              </w:rPr>
              <w:t>2018</w:t>
            </w:r>
          </w:p>
        </w:tc>
        <w:tc>
          <w:tcPr>
            <w:tcW w:w="1094" w:type="dxa"/>
          </w:tcPr>
          <w:p w:rsidR="00C219A3" w:rsidRPr="00545E5A" w:rsidRDefault="00C219A3" w:rsidP="00545E5A">
            <w:pPr>
              <w:rPr>
                <w:rFonts w:cs="Arial"/>
                <w:szCs w:val="24"/>
              </w:rPr>
            </w:pPr>
            <w:r w:rsidRPr="00545E5A">
              <w:rPr>
                <w:rFonts w:cs="Arial"/>
                <w:szCs w:val="24"/>
              </w:rPr>
              <w:t>2019</w:t>
            </w:r>
          </w:p>
        </w:tc>
        <w:tc>
          <w:tcPr>
            <w:tcW w:w="1094" w:type="dxa"/>
          </w:tcPr>
          <w:p w:rsidR="00C219A3" w:rsidRPr="00545E5A" w:rsidRDefault="00C219A3" w:rsidP="00545E5A">
            <w:pPr>
              <w:rPr>
                <w:rFonts w:cs="Arial"/>
                <w:szCs w:val="24"/>
              </w:rPr>
            </w:pPr>
            <w:r w:rsidRPr="00545E5A">
              <w:rPr>
                <w:rFonts w:cs="Arial"/>
                <w:szCs w:val="24"/>
              </w:rPr>
              <w:t>2020</w:t>
            </w:r>
          </w:p>
        </w:tc>
        <w:tc>
          <w:tcPr>
            <w:tcW w:w="1095" w:type="dxa"/>
          </w:tcPr>
          <w:p w:rsidR="00C219A3" w:rsidRPr="00545E5A" w:rsidRDefault="00C219A3" w:rsidP="00545E5A">
            <w:pPr>
              <w:rPr>
                <w:rFonts w:cs="Arial"/>
                <w:szCs w:val="24"/>
              </w:rPr>
            </w:pPr>
            <w:r w:rsidRPr="00545E5A">
              <w:rPr>
                <w:rFonts w:cs="Arial"/>
                <w:szCs w:val="24"/>
              </w:rPr>
              <w:t>2021</w:t>
            </w:r>
          </w:p>
        </w:tc>
        <w:tc>
          <w:tcPr>
            <w:tcW w:w="1002" w:type="dxa"/>
          </w:tcPr>
          <w:p w:rsidR="00C219A3" w:rsidRPr="00545E5A" w:rsidRDefault="00C219A3" w:rsidP="00545E5A">
            <w:pPr>
              <w:rPr>
                <w:rFonts w:cs="Arial"/>
                <w:szCs w:val="24"/>
              </w:rPr>
            </w:pPr>
            <w:r w:rsidRPr="00545E5A">
              <w:rPr>
                <w:rFonts w:cs="Arial"/>
                <w:szCs w:val="24"/>
              </w:rPr>
              <w:t>celkem</w:t>
            </w:r>
          </w:p>
        </w:tc>
      </w:tr>
      <w:tr w:rsidR="00C219A3" w:rsidRPr="00545E5A" w:rsidTr="004D2A8D">
        <w:tc>
          <w:tcPr>
            <w:tcW w:w="1722" w:type="dxa"/>
          </w:tcPr>
          <w:p w:rsidR="00C219A3" w:rsidRPr="00545E5A" w:rsidRDefault="00C219A3" w:rsidP="00545E5A">
            <w:pPr>
              <w:rPr>
                <w:rFonts w:cs="Arial"/>
                <w:szCs w:val="24"/>
              </w:rPr>
            </w:pPr>
            <w:r w:rsidRPr="00545E5A">
              <w:rPr>
                <w:rFonts w:cs="Arial"/>
                <w:szCs w:val="24"/>
              </w:rPr>
              <w:t>bilance</w:t>
            </w:r>
          </w:p>
        </w:tc>
        <w:tc>
          <w:tcPr>
            <w:tcW w:w="1093" w:type="dxa"/>
          </w:tcPr>
          <w:p w:rsidR="00C219A3" w:rsidRPr="00545E5A" w:rsidRDefault="00C219A3" w:rsidP="00545E5A">
            <w:pPr>
              <w:rPr>
                <w:rFonts w:cs="Arial"/>
                <w:szCs w:val="24"/>
              </w:rPr>
            </w:pPr>
            <w:r w:rsidRPr="00545E5A">
              <w:rPr>
                <w:rFonts w:cs="Arial"/>
                <w:color w:val="FF0000"/>
                <w:szCs w:val="24"/>
              </w:rPr>
              <w:t>307</w:t>
            </w:r>
          </w:p>
        </w:tc>
        <w:tc>
          <w:tcPr>
            <w:tcW w:w="1094" w:type="dxa"/>
          </w:tcPr>
          <w:p w:rsidR="00C219A3" w:rsidRPr="00545E5A" w:rsidRDefault="00C219A3" w:rsidP="00545E5A">
            <w:pPr>
              <w:rPr>
                <w:rFonts w:cs="Arial"/>
                <w:szCs w:val="24"/>
              </w:rPr>
            </w:pPr>
            <w:r w:rsidRPr="00545E5A">
              <w:rPr>
                <w:rFonts w:cs="Arial"/>
                <w:color w:val="FF0000"/>
                <w:szCs w:val="24"/>
              </w:rPr>
              <w:t>15</w:t>
            </w:r>
          </w:p>
        </w:tc>
        <w:tc>
          <w:tcPr>
            <w:tcW w:w="1094" w:type="dxa"/>
          </w:tcPr>
          <w:p w:rsidR="00C219A3" w:rsidRPr="00545E5A" w:rsidRDefault="00C219A3" w:rsidP="00545E5A">
            <w:pPr>
              <w:rPr>
                <w:rFonts w:cs="Arial"/>
                <w:szCs w:val="24"/>
              </w:rPr>
            </w:pPr>
            <w:r w:rsidRPr="00545E5A">
              <w:rPr>
                <w:rFonts w:cs="Arial"/>
                <w:color w:val="FF0000"/>
                <w:szCs w:val="24"/>
              </w:rPr>
              <w:t>204</w:t>
            </w:r>
          </w:p>
        </w:tc>
        <w:tc>
          <w:tcPr>
            <w:tcW w:w="1094" w:type="dxa"/>
          </w:tcPr>
          <w:p w:rsidR="00C219A3" w:rsidRPr="00545E5A" w:rsidRDefault="00C219A3" w:rsidP="00545E5A">
            <w:pPr>
              <w:rPr>
                <w:rFonts w:cs="Arial"/>
                <w:szCs w:val="24"/>
              </w:rPr>
            </w:pPr>
            <w:r w:rsidRPr="00545E5A">
              <w:rPr>
                <w:rFonts w:cs="Arial"/>
                <w:color w:val="00B050"/>
                <w:szCs w:val="24"/>
              </w:rPr>
              <w:t>+ 25</w:t>
            </w:r>
          </w:p>
        </w:tc>
        <w:tc>
          <w:tcPr>
            <w:tcW w:w="1094" w:type="dxa"/>
          </w:tcPr>
          <w:p w:rsidR="00C219A3" w:rsidRPr="00545E5A" w:rsidRDefault="00C219A3" w:rsidP="00545E5A">
            <w:pPr>
              <w:rPr>
                <w:rFonts w:cs="Arial"/>
                <w:szCs w:val="24"/>
              </w:rPr>
            </w:pPr>
            <w:r w:rsidRPr="00545E5A">
              <w:rPr>
                <w:rFonts w:cs="Arial"/>
                <w:color w:val="FF0000"/>
                <w:szCs w:val="24"/>
              </w:rPr>
              <w:t>251</w:t>
            </w:r>
          </w:p>
        </w:tc>
        <w:tc>
          <w:tcPr>
            <w:tcW w:w="1095" w:type="dxa"/>
          </w:tcPr>
          <w:p w:rsidR="00C219A3" w:rsidRPr="00545E5A" w:rsidRDefault="00C219A3" w:rsidP="00545E5A">
            <w:pPr>
              <w:rPr>
                <w:rFonts w:cs="Arial"/>
                <w:szCs w:val="24"/>
              </w:rPr>
            </w:pPr>
            <w:r w:rsidRPr="00545E5A">
              <w:rPr>
                <w:rFonts w:cs="Arial"/>
                <w:color w:val="FF0000"/>
                <w:szCs w:val="24"/>
              </w:rPr>
              <w:t>393</w:t>
            </w:r>
          </w:p>
        </w:tc>
        <w:tc>
          <w:tcPr>
            <w:tcW w:w="1002" w:type="dxa"/>
          </w:tcPr>
          <w:p w:rsidR="00C219A3" w:rsidRPr="00545E5A" w:rsidRDefault="00C219A3" w:rsidP="00545E5A">
            <w:pPr>
              <w:rPr>
                <w:rFonts w:cs="Arial"/>
                <w:color w:val="FF0000"/>
                <w:szCs w:val="24"/>
              </w:rPr>
            </w:pPr>
            <w:r w:rsidRPr="00545E5A">
              <w:rPr>
                <w:rFonts w:cs="Arial"/>
                <w:color w:val="FF0000"/>
                <w:szCs w:val="24"/>
              </w:rPr>
              <w:t>1 145</w:t>
            </w:r>
          </w:p>
        </w:tc>
      </w:tr>
    </w:tbl>
    <w:p w:rsidR="00C219A3" w:rsidRDefault="00C219A3" w:rsidP="00545E5A">
      <w:pPr>
        <w:spacing w:line="240" w:lineRule="auto"/>
        <w:rPr>
          <w:rFonts w:cs="Arial"/>
          <w:szCs w:val="24"/>
        </w:rPr>
      </w:pPr>
    </w:p>
    <w:p w:rsidR="00CB3071" w:rsidRPr="00CB3071" w:rsidRDefault="00CB3071" w:rsidP="00545E5A">
      <w:pPr>
        <w:spacing w:line="240" w:lineRule="auto"/>
        <w:rPr>
          <w:rFonts w:cs="Arial"/>
          <w:i/>
          <w:sz w:val="20"/>
          <w:szCs w:val="24"/>
        </w:rPr>
      </w:pPr>
      <w:r>
        <w:rPr>
          <w:rFonts w:cs="Arial"/>
          <w:i/>
          <w:sz w:val="20"/>
          <w:szCs w:val="24"/>
        </w:rPr>
        <w:t>PZN</w:t>
      </w:r>
      <w:r w:rsidR="00E33925">
        <w:rPr>
          <w:rFonts w:cs="Arial"/>
          <w:i/>
          <w:sz w:val="20"/>
          <w:szCs w:val="24"/>
        </w:rPr>
        <w:t>:</w:t>
      </w:r>
      <w:r>
        <w:rPr>
          <w:rFonts w:cs="Arial"/>
          <w:i/>
          <w:sz w:val="20"/>
          <w:szCs w:val="24"/>
        </w:rPr>
        <w:t xml:space="preserve"> Výše uvedená data vycházejí ze skutečností sdělených v prosinci 2015</w:t>
      </w:r>
    </w:p>
    <w:p w:rsidR="00C219A3" w:rsidRDefault="00C219A3" w:rsidP="00545E5A">
      <w:pPr>
        <w:spacing w:line="240" w:lineRule="auto"/>
        <w:rPr>
          <w:rFonts w:cs="Arial"/>
          <w:szCs w:val="24"/>
        </w:rPr>
      </w:pPr>
    </w:p>
    <w:p w:rsidR="007854EE" w:rsidRDefault="007854EE" w:rsidP="00545E5A">
      <w:pPr>
        <w:spacing w:line="240" w:lineRule="auto"/>
        <w:rPr>
          <w:rFonts w:cs="Arial"/>
          <w:szCs w:val="24"/>
        </w:rPr>
      </w:pPr>
      <w:r>
        <w:rPr>
          <w:rFonts w:cs="Arial"/>
          <w:szCs w:val="24"/>
        </w:rPr>
        <w:t xml:space="preserve">Zhruba 100 pracovních míst by do roku 2019 mohlo být uvolněno v důsledku přirozené fluktuace rovněž ve společnosti </w:t>
      </w:r>
      <w:proofErr w:type="spellStart"/>
      <w:r>
        <w:rPr>
          <w:rFonts w:cs="Arial"/>
          <w:szCs w:val="24"/>
        </w:rPr>
        <w:t>Vršanská</w:t>
      </w:r>
      <w:proofErr w:type="spellEnd"/>
      <w:r>
        <w:rPr>
          <w:rFonts w:cs="Arial"/>
          <w:szCs w:val="24"/>
        </w:rPr>
        <w:t xml:space="preserve"> uhelná, a.s. </w:t>
      </w:r>
    </w:p>
    <w:p w:rsidR="007854EE" w:rsidRDefault="007854EE" w:rsidP="00545E5A">
      <w:pPr>
        <w:spacing w:line="240" w:lineRule="auto"/>
        <w:rPr>
          <w:rFonts w:cs="Arial"/>
          <w:szCs w:val="24"/>
        </w:rPr>
      </w:pPr>
    </w:p>
    <w:p w:rsidR="00CB3071" w:rsidRDefault="00CB3071" w:rsidP="00545E5A">
      <w:pPr>
        <w:spacing w:line="240" w:lineRule="auto"/>
        <w:rPr>
          <w:rFonts w:cs="Arial"/>
          <w:szCs w:val="24"/>
        </w:rPr>
      </w:pPr>
      <w:r>
        <w:rPr>
          <w:rFonts w:cs="Arial"/>
          <w:szCs w:val="24"/>
        </w:rPr>
        <w:lastRenderedPageBreak/>
        <w:t>V souvislosti se situací v Ústeckém kraji v důsledku útlumu těžby hnědého uhlí se dále hovoří o možné ztrátě pracovních míst v návazných oborech. Výše multiplikačních dopadů se však různí. V podkladových materiálech vypracovaných pro Ministerstvo průmyslu a obchodu osciluje multiplikační koeficient mezi hodnotami 0,75 – 1,5</w:t>
      </w:r>
      <w:r>
        <w:rPr>
          <w:rStyle w:val="Znakapoznpodarou"/>
          <w:rFonts w:cs="Arial"/>
          <w:szCs w:val="24"/>
        </w:rPr>
        <w:footnoteReference w:id="1"/>
      </w:r>
      <w:r w:rsidR="001C68F0">
        <w:rPr>
          <w:rFonts w:cs="Arial"/>
          <w:szCs w:val="24"/>
        </w:rPr>
        <w:t>. V takovém případě by dále mohlo být ohroženo zhruba dalších 1 300 až 2 650 pracovních míst.</w:t>
      </w:r>
    </w:p>
    <w:p w:rsidR="00CB3071" w:rsidRPr="00545E5A" w:rsidRDefault="00CB3071" w:rsidP="00545E5A">
      <w:pPr>
        <w:spacing w:line="240" w:lineRule="auto"/>
        <w:rPr>
          <w:rFonts w:cs="Arial"/>
          <w:szCs w:val="24"/>
        </w:rPr>
      </w:pPr>
    </w:p>
    <w:p w:rsidR="00C219A3" w:rsidRPr="00545E5A" w:rsidRDefault="00C219A3" w:rsidP="00545E5A">
      <w:pPr>
        <w:numPr>
          <w:ilvl w:val="0"/>
          <w:numId w:val="3"/>
        </w:numPr>
        <w:spacing w:line="240" w:lineRule="auto"/>
        <w:contextualSpacing/>
        <w:rPr>
          <w:rFonts w:cs="Arial"/>
          <w:b/>
          <w:szCs w:val="24"/>
        </w:rPr>
      </w:pPr>
      <w:r w:rsidRPr="00545E5A">
        <w:rPr>
          <w:rFonts w:cs="Arial"/>
          <w:b/>
          <w:szCs w:val="24"/>
        </w:rPr>
        <w:t xml:space="preserve">Náklady v důsledku vzniku nezaměstnanosti </w:t>
      </w:r>
    </w:p>
    <w:p w:rsidR="00C219A3" w:rsidRPr="00545E5A" w:rsidRDefault="00C219A3" w:rsidP="00545E5A">
      <w:pPr>
        <w:spacing w:line="240" w:lineRule="auto"/>
        <w:ind w:left="360"/>
        <w:contextualSpacing/>
        <w:rPr>
          <w:rFonts w:cs="Arial"/>
          <w:b/>
          <w:szCs w:val="24"/>
        </w:rPr>
      </w:pPr>
    </w:p>
    <w:p w:rsidR="00C219A3" w:rsidRPr="00545E5A" w:rsidRDefault="00C219A3" w:rsidP="00545E5A">
      <w:pPr>
        <w:spacing w:line="240" w:lineRule="auto"/>
        <w:rPr>
          <w:rFonts w:cs="Arial"/>
          <w:szCs w:val="24"/>
        </w:rPr>
      </w:pPr>
      <w:r w:rsidRPr="00545E5A">
        <w:rPr>
          <w:rFonts w:cs="Arial"/>
          <w:szCs w:val="24"/>
        </w:rPr>
        <w:t>Podle nejaktuálnější dostupné studie je náklad veřejných rozpočtů (přímé i nepřímé náklady, tj. včetně podpor v nezaměstnanosti, ztráty na pojistném a daních, platba zdravotního pojištění za uchazeče o zaměstnání atd.) na jednoho nezaměstnaného odhadován ve výši 168 492 Kč ročně. Úskalím využívané studie</w:t>
      </w:r>
      <w:r w:rsidRPr="00545E5A">
        <w:rPr>
          <w:rFonts w:cs="Arial"/>
          <w:szCs w:val="24"/>
          <w:vertAlign w:val="superscript"/>
        </w:rPr>
        <w:footnoteReference w:id="2"/>
      </w:r>
      <w:r w:rsidRPr="00545E5A">
        <w:rPr>
          <w:rFonts w:cs="Arial"/>
          <w:szCs w:val="24"/>
        </w:rPr>
        <w:t xml:space="preserve"> je skutečnost, že je kalkulována na datech roku 2009. Vzhledem k nárůstu mezd a mírné inflaci, odhaduje MPSV nárůst ročního nákladu na středního nezaměstnaného na cca 185 000 Kč ročně, tj. </w:t>
      </w:r>
      <w:r w:rsidRPr="00545E5A">
        <w:rPr>
          <w:rFonts w:cs="Arial"/>
          <w:b/>
          <w:szCs w:val="24"/>
        </w:rPr>
        <w:t>15 500 Kč měsíčně</w:t>
      </w:r>
      <w:r w:rsidRPr="00545E5A">
        <w:rPr>
          <w:rFonts w:cs="Arial"/>
          <w:szCs w:val="24"/>
        </w:rPr>
        <w:t>. Tato částka obsahu</w:t>
      </w:r>
      <w:r w:rsidR="00545E5A">
        <w:rPr>
          <w:rFonts w:cs="Arial"/>
          <w:szCs w:val="24"/>
        </w:rPr>
        <w:t>je rovněž nepřímé</w:t>
      </w:r>
      <w:r w:rsidRPr="00545E5A">
        <w:rPr>
          <w:rFonts w:cs="Arial"/>
          <w:szCs w:val="24"/>
        </w:rPr>
        <w:t xml:space="preserve"> náklady v důsledku úbytku koupěschopnosti propuštěných zaměstnanců a další multiplikační efekty, které se projevují ve snížení </w:t>
      </w:r>
      <w:r w:rsidR="00545E5A">
        <w:rPr>
          <w:rFonts w:cs="Arial"/>
          <w:szCs w:val="24"/>
        </w:rPr>
        <w:t>HDP</w:t>
      </w:r>
      <w:r w:rsidRPr="00545E5A">
        <w:rPr>
          <w:rFonts w:cs="Arial"/>
          <w:szCs w:val="24"/>
        </w:rPr>
        <w:t xml:space="preserve"> (nepřímé náklady jsou ve využívané studii kalkulovány právě ve vztahu k </w:t>
      </w:r>
      <w:r w:rsidR="00545E5A">
        <w:rPr>
          <w:rFonts w:cs="Arial"/>
          <w:szCs w:val="24"/>
        </w:rPr>
        <w:t>HDP</w:t>
      </w:r>
      <w:r w:rsidRPr="00545E5A">
        <w:rPr>
          <w:rFonts w:cs="Arial"/>
          <w:szCs w:val="24"/>
        </w:rPr>
        <w:t xml:space="preserve">). Průměrná délka ukončené evidence uchazečů o zaměstnání v Ústeckém kraji činí v posledním období </w:t>
      </w:r>
      <w:r w:rsidRPr="00545E5A">
        <w:rPr>
          <w:rFonts w:cs="Arial"/>
          <w:b/>
          <w:szCs w:val="24"/>
        </w:rPr>
        <w:t>zhruba 12 měsíců</w:t>
      </w:r>
      <w:r w:rsidRPr="00545E5A">
        <w:rPr>
          <w:rFonts w:cs="Arial"/>
          <w:szCs w:val="24"/>
        </w:rPr>
        <w:t>. K průběžné délce vedení v evidenci uchazečů o zaměstnání nepřihlížíme, neboť je významně ovlivněna extrémními případy dlouhodobé nezaměstnanosti. Náklady lze tedy odhadnout do roku 2021 na částku 1 </w:t>
      </w:r>
      <w:r w:rsidR="00902D0C">
        <w:rPr>
          <w:rFonts w:cs="Arial"/>
          <w:szCs w:val="24"/>
        </w:rPr>
        <w:t>145</w:t>
      </w:r>
      <w:r w:rsidRPr="00545E5A">
        <w:rPr>
          <w:rFonts w:cs="Arial"/>
          <w:szCs w:val="24"/>
        </w:rPr>
        <w:t xml:space="preserve"> x 12 x 15 500 = </w:t>
      </w:r>
      <w:r w:rsidR="00902D0C" w:rsidRPr="00902D0C">
        <w:rPr>
          <w:rFonts w:cs="Arial"/>
          <w:b/>
          <w:szCs w:val="24"/>
        </w:rPr>
        <w:t>212</w:t>
      </w:r>
      <w:r w:rsidR="00902D0C">
        <w:rPr>
          <w:rFonts w:cs="Arial"/>
          <w:b/>
          <w:szCs w:val="24"/>
        </w:rPr>
        <w:t> </w:t>
      </w:r>
      <w:r w:rsidR="00902D0C" w:rsidRPr="00902D0C">
        <w:rPr>
          <w:rFonts w:cs="Arial"/>
          <w:b/>
          <w:szCs w:val="24"/>
        </w:rPr>
        <w:t>970</w:t>
      </w:r>
      <w:r w:rsidR="00902D0C">
        <w:rPr>
          <w:rFonts w:cs="Arial"/>
          <w:b/>
          <w:szCs w:val="24"/>
        </w:rPr>
        <w:t xml:space="preserve"> </w:t>
      </w:r>
      <w:r w:rsidR="00902D0C" w:rsidRPr="00902D0C">
        <w:rPr>
          <w:rFonts w:cs="Arial"/>
          <w:b/>
          <w:szCs w:val="24"/>
        </w:rPr>
        <w:t>000</w:t>
      </w:r>
      <w:r w:rsidR="007A0BA7">
        <w:rPr>
          <w:rFonts w:cs="Arial"/>
          <w:b/>
          <w:szCs w:val="24"/>
        </w:rPr>
        <w:t>.</w:t>
      </w:r>
      <w:r w:rsidRPr="00545E5A">
        <w:rPr>
          <w:rFonts w:cs="Arial"/>
          <w:szCs w:val="24"/>
        </w:rPr>
        <w:t xml:space="preserve"> </w:t>
      </w:r>
    </w:p>
    <w:p w:rsidR="000975F5" w:rsidRDefault="000975F5" w:rsidP="00545E5A">
      <w:pPr>
        <w:spacing w:line="240" w:lineRule="auto"/>
        <w:rPr>
          <w:rFonts w:cs="Arial"/>
          <w:szCs w:val="24"/>
        </w:rPr>
      </w:pPr>
    </w:p>
    <w:p w:rsidR="000975F5" w:rsidRPr="00545E5A" w:rsidRDefault="000975F5" w:rsidP="00545E5A">
      <w:pPr>
        <w:pStyle w:val="Odstavecseseznamem"/>
        <w:numPr>
          <w:ilvl w:val="0"/>
          <w:numId w:val="3"/>
        </w:numPr>
        <w:spacing w:line="240" w:lineRule="auto"/>
        <w:rPr>
          <w:rFonts w:cs="Arial"/>
          <w:b/>
          <w:szCs w:val="24"/>
        </w:rPr>
      </w:pPr>
      <w:r w:rsidRPr="00545E5A">
        <w:rPr>
          <w:rFonts w:cs="Arial"/>
          <w:b/>
          <w:szCs w:val="24"/>
        </w:rPr>
        <w:t>Struktura</w:t>
      </w:r>
      <w:r w:rsidR="00475AC9" w:rsidRPr="00545E5A">
        <w:rPr>
          <w:rFonts w:cs="Arial"/>
          <w:b/>
          <w:szCs w:val="24"/>
        </w:rPr>
        <w:t xml:space="preserve"> zaměstnanosti</w:t>
      </w:r>
    </w:p>
    <w:p w:rsidR="00475AC9" w:rsidRPr="00545E5A" w:rsidRDefault="00475AC9" w:rsidP="00545E5A">
      <w:pPr>
        <w:spacing w:line="240" w:lineRule="auto"/>
        <w:rPr>
          <w:rFonts w:cs="Arial"/>
          <w:b/>
          <w:szCs w:val="24"/>
        </w:rPr>
      </w:pPr>
    </w:p>
    <w:p w:rsidR="000975F5" w:rsidRPr="00545E5A" w:rsidRDefault="000975F5" w:rsidP="00545E5A">
      <w:pPr>
        <w:spacing w:line="240" w:lineRule="auto"/>
        <w:rPr>
          <w:rFonts w:cs="Arial"/>
          <w:szCs w:val="24"/>
        </w:rPr>
      </w:pPr>
      <w:r w:rsidRPr="00545E5A">
        <w:rPr>
          <w:rFonts w:cs="Arial"/>
          <w:szCs w:val="24"/>
        </w:rPr>
        <w:t>Na základě rozboru zaměstnanosti ve vybraných společnostech, lze hrubě odhadnout následující strukturu zaměstnanců ohrožených ztrátou zaměstnání:</w:t>
      </w:r>
    </w:p>
    <w:p w:rsidR="000C1FBA" w:rsidRPr="00545E5A" w:rsidRDefault="000C1FBA" w:rsidP="00545E5A">
      <w:pPr>
        <w:spacing w:line="240" w:lineRule="auto"/>
        <w:rPr>
          <w:rFonts w:cs="Arial"/>
          <w:szCs w:val="24"/>
        </w:rPr>
      </w:pPr>
      <w:r w:rsidRPr="00545E5A">
        <w:rPr>
          <w:noProof/>
          <w:szCs w:val="24"/>
          <w:lang w:eastAsia="cs-CZ"/>
        </w:rPr>
        <w:drawing>
          <wp:inline distT="0" distB="0" distL="0" distR="0">
            <wp:extent cx="3133725" cy="3000375"/>
            <wp:effectExtent l="0" t="0" r="9525" b="9525"/>
            <wp:docPr id="2"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545E5A">
        <w:rPr>
          <w:noProof/>
          <w:szCs w:val="24"/>
          <w:lang w:eastAsia="cs-CZ"/>
        </w:rPr>
        <w:drawing>
          <wp:anchor distT="0" distB="0" distL="114300" distR="114300" simplePos="0" relativeHeight="251658240" behindDoc="1" locked="0" layoutInCell="1" allowOverlap="1">
            <wp:simplePos x="0" y="0"/>
            <wp:positionH relativeFrom="column">
              <wp:posOffset>-4445</wp:posOffset>
            </wp:positionH>
            <wp:positionV relativeFrom="paragraph">
              <wp:posOffset>3175</wp:posOffset>
            </wp:positionV>
            <wp:extent cx="3019425" cy="3000375"/>
            <wp:effectExtent l="0" t="0" r="9525" b="9525"/>
            <wp:wrapTight wrapText="bothSides">
              <wp:wrapPolygon edited="0">
                <wp:start x="0" y="0"/>
                <wp:lineTo x="0" y="21531"/>
                <wp:lineTo x="21532" y="21531"/>
                <wp:lineTo x="21532" y="0"/>
                <wp:lineTo x="0" y="0"/>
              </wp:wrapPolygon>
            </wp:wrapTight>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C219A3" w:rsidRPr="00545E5A" w:rsidRDefault="00C219A3" w:rsidP="00545E5A">
      <w:pPr>
        <w:spacing w:line="240" w:lineRule="auto"/>
        <w:rPr>
          <w:rFonts w:cs="Arial"/>
          <w:szCs w:val="24"/>
        </w:rPr>
      </w:pPr>
    </w:p>
    <w:p w:rsidR="009D524A" w:rsidRPr="00545E5A" w:rsidRDefault="009D524A" w:rsidP="00545E5A">
      <w:pPr>
        <w:spacing w:line="240" w:lineRule="auto"/>
        <w:rPr>
          <w:rFonts w:cs="Arial"/>
          <w:szCs w:val="24"/>
        </w:rPr>
      </w:pPr>
    </w:p>
    <w:p w:rsidR="001B6314" w:rsidRPr="00545E5A" w:rsidRDefault="001B6314" w:rsidP="00545E5A">
      <w:pPr>
        <w:spacing w:line="240" w:lineRule="auto"/>
        <w:rPr>
          <w:rFonts w:cs="Arial"/>
          <w:szCs w:val="24"/>
        </w:rPr>
      </w:pPr>
      <w:r w:rsidRPr="00545E5A">
        <w:rPr>
          <w:noProof/>
          <w:szCs w:val="24"/>
          <w:lang w:eastAsia="cs-CZ"/>
        </w:rPr>
        <w:drawing>
          <wp:inline distT="0" distB="0" distL="0" distR="0">
            <wp:extent cx="5553075" cy="4367213"/>
            <wp:effectExtent l="0" t="0" r="9525" b="14605"/>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B6314" w:rsidRDefault="001B6314" w:rsidP="00545E5A">
      <w:pPr>
        <w:spacing w:line="240" w:lineRule="auto"/>
        <w:rPr>
          <w:rFonts w:cs="Arial"/>
          <w:szCs w:val="24"/>
        </w:rPr>
      </w:pPr>
    </w:p>
    <w:p w:rsidR="00AF119D" w:rsidRPr="00545E5A" w:rsidRDefault="00AF119D" w:rsidP="00545E5A">
      <w:pPr>
        <w:spacing w:line="240" w:lineRule="auto"/>
        <w:rPr>
          <w:rFonts w:cs="Arial"/>
          <w:szCs w:val="24"/>
        </w:rPr>
      </w:pPr>
    </w:p>
    <w:p w:rsidR="00C219A3" w:rsidRDefault="00C219A3" w:rsidP="00545E5A">
      <w:pPr>
        <w:numPr>
          <w:ilvl w:val="0"/>
          <w:numId w:val="3"/>
        </w:numPr>
        <w:spacing w:line="240" w:lineRule="auto"/>
        <w:contextualSpacing/>
        <w:rPr>
          <w:rFonts w:cs="Arial"/>
          <w:b/>
          <w:szCs w:val="24"/>
        </w:rPr>
      </w:pPr>
      <w:r w:rsidRPr="00545E5A">
        <w:rPr>
          <w:rFonts w:cs="Arial"/>
          <w:b/>
          <w:szCs w:val="24"/>
        </w:rPr>
        <w:t>Opatření na podporu zaměstnanosti</w:t>
      </w:r>
    </w:p>
    <w:p w:rsidR="00AF119D" w:rsidRPr="00545E5A" w:rsidRDefault="00AF119D" w:rsidP="00AF119D">
      <w:pPr>
        <w:spacing w:line="240" w:lineRule="auto"/>
        <w:contextualSpacing/>
        <w:rPr>
          <w:rFonts w:cs="Arial"/>
          <w:b/>
          <w:szCs w:val="24"/>
        </w:rPr>
      </w:pPr>
    </w:p>
    <w:p w:rsidR="00AF119D" w:rsidRDefault="00C219A3" w:rsidP="00545E5A">
      <w:pPr>
        <w:spacing w:line="240" w:lineRule="auto"/>
        <w:rPr>
          <w:rFonts w:cs="Arial"/>
          <w:szCs w:val="24"/>
        </w:rPr>
      </w:pPr>
      <w:r w:rsidRPr="00545E5A">
        <w:rPr>
          <w:rFonts w:cs="Arial"/>
          <w:szCs w:val="24"/>
        </w:rPr>
        <w:t xml:space="preserve">Jak vyplývá z výše uvedeného souhrnu, vyžádá si řešení situace v Ústeckém kraji </w:t>
      </w:r>
      <w:r w:rsidR="00C12DC1">
        <w:rPr>
          <w:rFonts w:cs="Arial"/>
          <w:szCs w:val="24"/>
        </w:rPr>
        <w:t xml:space="preserve">(dále jen „ULK“) </w:t>
      </w:r>
      <w:r w:rsidRPr="00545E5A">
        <w:rPr>
          <w:rFonts w:cs="Arial"/>
          <w:szCs w:val="24"/>
        </w:rPr>
        <w:t>do roku 2021 nalezení nového pracovního uplatnění pro více jak 1 000 osob a usnadnit přechod více než 600 zaměstnanců k jiným zaměstnavatelům v těžebním oboru. Za tímto</w:t>
      </w:r>
      <w:r w:rsidR="00AF2CD1" w:rsidRPr="00545E5A">
        <w:rPr>
          <w:rFonts w:cs="Arial"/>
          <w:szCs w:val="24"/>
        </w:rPr>
        <w:t xml:space="preserve"> účelem bude realizován podle § </w:t>
      </w:r>
      <w:r w:rsidRPr="00545E5A">
        <w:rPr>
          <w:rFonts w:cs="Arial"/>
          <w:szCs w:val="24"/>
        </w:rPr>
        <w:t>120 zákona č. 435/2004 Sb., o zaměstnanosti, ve znění pozdějších předpisů</w:t>
      </w:r>
      <w:r w:rsidR="00C12DC1">
        <w:rPr>
          <w:rFonts w:cs="Arial"/>
          <w:szCs w:val="24"/>
        </w:rPr>
        <w:t xml:space="preserve"> (dále jen „zákon o zaměstnanosti“)</w:t>
      </w:r>
      <w:r w:rsidR="00AF119D">
        <w:rPr>
          <w:rFonts w:cs="Arial"/>
          <w:szCs w:val="24"/>
        </w:rPr>
        <w:t>,</w:t>
      </w:r>
      <w:r w:rsidRPr="00545E5A">
        <w:rPr>
          <w:rFonts w:cs="Arial"/>
          <w:szCs w:val="24"/>
        </w:rPr>
        <w:t xml:space="preserve"> tzv. cílený program, jehož realizaci je nutné zahájit již v průběhu roku 2016.</w:t>
      </w:r>
      <w:r w:rsidR="00AF119D">
        <w:rPr>
          <w:rFonts w:cs="Arial"/>
          <w:szCs w:val="24"/>
        </w:rPr>
        <w:t xml:space="preserve"> Seznam konkrétních opatření je uveden v následující části (část B) materiálu. Jedná se o soubor 16 opatření sdružených do 9 skupin, přičemž se jedná o opatření v gesci jak MPSV, resp. </w:t>
      </w:r>
      <w:r w:rsidR="00C12DC1">
        <w:rPr>
          <w:rFonts w:cs="Arial"/>
          <w:szCs w:val="24"/>
        </w:rPr>
        <w:t>Úřadu práce České republiky (dále jen „</w:t>
      </w:r>
      <w:r w:rsidR="00AF119D">
        <w:rPr>
          <w:rFonts w:cs="Arial"/>
          <w:szCs w:val="24"/>
        </w:rPr>
        <w:t>ÚP ČR</w:t>
      </w:r>
      <w:r w:rsidR="00C12DC1">
        <w:rPr>
          <w:rFonts w:cs="Arial"/>
          <w:szCs w:val="24"/>
        </w:rPr>
        <w:t>“)</w:t>
      </w:r>
      <w:r w:rsidR="00AF119D">
        <w:rPr>
          <w:rFonts w:cs="Arial"/>
          <w:szCs w:val="24"/>
        </w:rPr>
        <w:t>, tak Ministerstva průmyslu a obchodu (</w:t>
      </w:r>
      <w:r w:rsidR="00C12DC1">
        <w:rPr>
          <w:rFonts w:cs="Arial"/>
          <w:szCs w:val="24"/>
        </w:rPr>
        <w:t>dále jen „</w:t>
      </w:r>
      <w:r w:rsidR="00AF119D">
        <w:rPr>
          <w:rFonts w:cs="Arial"/>
          <w:szCs w:val="24"/>
        </w:rPr>
        <w:t>MPO</w:t>
      </w:r>
      <w:r w:rsidR="00C12DC1">
        <w:rPr>
          <w:rFonts w:cs="Arial"/>
          <w:szCs w:val="24"/>
        </w:rPr>
        <w:t>“</w:t>
      </w:r>
      <w:r w:rsidR="00AF119D">
        <w:rPr>
          <w:rFonts w:cs="Arial"/>
          <w:szCs w:val="24"/>
        </w:rPr>
        <w:t>) a Ministerstva pro místní rozvoj (</w:t>
      </w:r>
      <w:r w:rsidR="00C12DC1">
        <w:rPr>
          <w:rFonts w:cs="Arial"/>
          <w:szCs w:val="24"/>
        </w:rPr>
        <w:t>dále jen „</w:t>
      </w:r>
      <w:r w:rsidR="00AF119D">
        <w:rPr>
          <w:rFonts w:cs="Arial"/>
          <w:szCs w:val="24"/>
        </w:rPr>
        <w:t>MMR</w:t>
      </w:r>
      <w:r w:rsidR="00C12DC1">
        <w:rPr>
          <w:rFonts w:cs="Arial"/>
          <w:szCs w:val="24"/>
        </w:rPr>
        <w:t>“</w:t>
      </w:r>
      <w:r w:rsidR="00AF119D">
        <w:rPr>
          <w:rFonts w:cs="Arial"/>
          <w:szCs w:val="24"/>
        </w:rPr>
        <w:t>).</w:t>
      </w:r>
    </w:p>
    <w:p w:rsidR="00657F6D" w:rsidRDefault="00657F6D" w:rsidP="00545E5A">
      <w:pPr>
        <w:spacing w:line="240" w:lineRule="auto"/>
        <w:rPr>
          <w:rFonts w:cs="Arial"/>
          <w:szCs w:val="24"/>
        </w:rPr>
      </w:pPr>
    </w:p>
    <w:p w:rsidR="00E9643C" w:rsidRPr="00545E5A" w:rsidRDefault="00E9643C" w:rsidP="00545E5A">
      <w:pPr>
        <w:spacing w:line="240" w:lineRule="auto"/>
        <w:rPr>
          <w:rFonts w:cs="Arial"/>
          <w:szCs w:val="24"/>
        </w:rPr>
      </w:pPr>
    </w:p>
    <w:p w:rsidR="000975F5" w:rsidRPr="00545E5A" w:rsidRDefault="00657F6D" w:rsidP="00545E5A">
      <w:pPr>
        <w:pStyle w:val="Odstavecseseznamem"/>
        <w:numPr>
          <w:ilvl w:val="0"/>
          <w:numId w:val="2"/>
        </w:numPr>
        <w:spacing w:line="240" w:lineRule="auto"/>
        <w:jc w:val="center"/>
        <w:rPr>
          <w:rFonts w:cs="Arial"/>
          <w:b/>
          <w:szCs w:val="24"/>
        </w:rPr>
      </w:pPr>
      <w:r w:rsidRPr="00545E5A">
        <w:rPr>
          <w:rFonts w:cs="Arial"/>
          <w:b/>
          <w:szCs w:val="24"/>
        </w:rPr>
        <w:t>SEZNAM OPATŘENÍ</w:t>
      </w:r>
    </w:p>
    <w:p w:rsidR="00657F6D" w:rsidRPr="00545E5A" w:rsidRDefault="00657F6D" w:rsidP="00545E5A">
      <w:pPr>
        <w:pStyle w:val="Odstavecseseznamem"/>
        <w:spacing w:line="240" w:lineRule="auto"/>
        <w:rPr>
          <w:rFonts w:cs="Arial"/>
          <w:b/>
          <w:szCs w:val="24"/>
        </w:rPr>
      </w:pPr>
    </w:p>
    <w:tbl>
      <w:tblPr>
        <w:tblStyle w:val="Mkatabulky"/>
        <w:tblW w:w="0" w:type="auto"/>
        <w:tblLook w:val="04A0"/>
      </w:tblPr>
      <w:tblGrid>
        <w:gridCol w:w="537"/>
        <w:gridCol w:w="766"/>
        <w:gridCol w:w="6475"/>
        <w:gridCol w:w="1510"/>
      </w:tblGrid>
      <w:tr w:rsidR="00475AC9" w:rsidRPr="00545E5A" w:rsidTr="00244020">
        <w:trPr>
          <w:trHeight w:val="253"/>
        </w:trPr>
        <w:tc>
          <w:tcPr>
            <w:tcW w:w="537" w:type="dxa"/>
            <w:vMerge w:val="restart"/>
            <w:tcBorders>
              <w:right w:val="nil"/>
            </w:tcBorders>
            <w:vAlign w:val="center"/>
          </w:tcPr>
          <w:p w:rsidR="00475AC9" w:rsidRPr="00545E5A" w:rsidRDefault="00475AC9" w:rsidP="00545E5A">
            <w:pPr>
              <w:jc w:val="left"/>
              <w:rPr>
                <w:rFonts w:cs="Arial"/>
                <w:b/>
                <w:szCs w:val="24"/>
              </w:rPr>
            </w:pPr>
            <w:r w:rsidRPr="00545E5A">
              <w:rPr>
                <w:rFonts w:cs="Arial"/>
                <w:b/>
                <w:szCs w:val="24"/>
              </w:rPr>
              <w:t>O1</w:t>
            </w:r>
          </w:p>
        </w:tc>
        <w:tc>
          <w:tcPr>
            <w:tcW w:w="766" w:type="dxa"/>
            <w:tcBorders>
              <w:left w:val="nil"/>
            </w:tcBorders>
          </w:tcPr>
          <w:p w:rsidR="00475AC9" w:rsidRPr="00545E5A" w:rsidRDefault="00475AC9" w:rsidP="00545E5A">
            <w:pPr>
              <w:rPr>
                <w:rFonts w:cs="Arial"/>
                <w:b/>
                <w:szCs w:val="24"/>
              </w:rPr>
            </w:pPr>
          </w:p>
        </w:tc>
        <w:tc>
          <w:tcPr>
            <w:tcW w:w="6475" w:type="dxa"/>
            <w:vAlign w:val="center"/>
          </w:tcPr>
          <w:p w:rsidR="00475AC9" w:rsidRPr="00545E5A" w:rsidRDefault="00475AC9" w:rsidP="00E5035A">
            <w:pPr>
              <w:jc w:val="left"/>
              <w:rPr>
                <w:rFonts w:cs="Arial"/>
                <w:b/>
                <w:szCs w:val="24"/>
              </w:rPr>
            </w:pPr>
            <w:r w:rsidRPr="00545E5A">
              <w:rPr>
                <w:rFonts w:cs="Arial"/>
                <w:b/>
                <w:szCs w:val="24"/>
              </w:rPr>
              <w:t>„</w:t>
            </w:r>
            <w:r w:rsidR="00E5035A">
              <w:rPr>
                <w:rFonts w:cs="Arial"/>
                <w:b/>
                <w:szCs w:val="24"/>
              </w:rPr>
              <w:t>Snížení důchodového věku některým horníkům</w:t>
            </w:r>
            <w:r w:rsidRPr="00545E5A">
              <w:rPr>
                <w:rFonts w:cs="Arial"/>
                <w:b/>
                <w:szCs w:val="24"/>
              </w:rPr>
              <w:t>“</w:t>
            </w:r>
          </w:p>
        </w:tc>
        <w:tc>
          <w:tcPr>
            <w:tcW w:w="1510" w:type="dxa"/>
            <w:vMerge w:val="restart"/>
            <w:vAlign w:val="center"/>
          </w:tcPr>
          <w:p w:rsidR="00475AC9" w:rsidRPr="00545E5A" w:rsidRDefault="00475AC9" w:rsidP="00545E5A">
            <w:pPr>
              <w:jc w:val="left"/>
              <w:rPr>
                <w:rFonts w:cs="Arial"/>
                <w:b/>
                <w:szCs w:val="24"/>
              </w:rPr>
            </w:pPr>
            <w:r w:rsidRPr="00545E5A">
              <w:rPr>
                <w:rFonts w:cs="Arial"/>
                <w:b/>
                <w:szCs w:val="24"/>
              </w:rPr>
              <w:t>MPSV</w:t>
            </w:r>
          </w:p>
        </w:tc>
      </w:tr>
      <w:tr w:rsidR="00475AC9" w:rsidRPr="00545E5A" w:rsidTr="00244020">
        <w:trPr>
          <w:trHeight w:val="253"/>
        </w:trPr>
        <w:tc>
          <w:tcPr>
            <w:tcW w:w="537" w:type="dxa"/>
            <w:vMerge/>
            <w:vAlign w:val="center"/>
          </w:tcPr>
          <w:p w:rsidR="00475AC9" w:rsidRPr="00545E5A" w:rsidRDefault="00475AC9" w:rsidP="00545E5A">
            <w:pPr>
              <w:jc w:val="left"/>
              <w:rPr>
                <w:rFonts w:cs="Arial"/>
                <w:b/>
                <w:szCs w:val="24"/>
              </w:rPr>
            </w:pPr>
          </w:p>
        </w:tc>
        <w:tc>
          <w:tcPr>
            <w:tcW w:w="766" w:type="dxa"/>
          </w:tcPr>
          <w:p w:rsidR="00475AC9" w:rsidRPr="00545E5A" w:rsidRDefault="00475AC9" w:rsidP="00545E5A">
            <w:pPr>
              <w:rPr>
                <w:rFonts w:cs="Arial"/>
                <w:szCs w:val="24"/>
              </w:rPr>
            </w:pPr>
            <w:r w:rsidRPr="00545E5A">
              <w:rPr>
                <w:rFonts w:cs="Arial"/>
                <w:szCs w:val="24"/>
              </w:rPr>
              <w:t>O1.1</w:t>
            </w:r>
          </w:p>
        </w:tc>
        <w:tc>
          <w:tcPr>
            <w:tcW w:w="6475" w:type="dxa"/>
            <w:vAlign w:val="center"/>
          </w:tcPr>
          <w:p w:rsidR="00475AC9" w:rsidRPr="00545E5A" w:rsidRDefault="00475AC9" w:rsidP="00545E5A">
            <w:pPr>
              <w:jc w:val="left"/>
              <w:rPr>
                <w:rFonts w:cs="Arial"/>
                <w:szCs w:val="24"/>
              </w:rPr>
            </w:pPr>
            <w:r w:rsidRPr="00545E5A">
              <w:rPr>
                <w:rFonts w:cs="Arial"/>
                <w:i/>
                <w:szCs w:val="24"/>
              </w:rPr>
              <w:t>Novela nařízení vlády č. 69/2015 Sb.</w:t>
            </w:r>
            <w:r w:rsidR="00C12DC1">
              <w:rPr>
                <w:rFonts w:cs="Arial"/>
                <w:i/>
                <w:szCs w:val="24"/>
              </w:rPr>
              <w:t xml:space="preserve">, </w:t>
            </w:r>
            <w:r w:rsidR="00C12DC1" w:rsidRPr="00521D86">
              <w:rPr>
                <w:rFonts w:cs="Arial"/>
                <w:i/>
                <w:szCs w:val="24"/>
              </w:rPr>
              <w:t>kterým se mění nařízení vlády č. 363/2009 Sb., o stanovení důchodového věku a přepočtu starobních důchodů některých horníků, kteří začali vykonávat své zaměstnání před rokem 1993</w:t>
            </w:r>
            <w:r w:rsidR="00C12DC1">
              <w:rPr>
                <w:rFonts w:cs="Arial"/>
                <w:i/>
                <w:szCs w:val="24"/>
              </w:rPr>
              <w:t>.</w:t>
            </w:r>
          </w:p>
          <w:p w:rsidR="00475AC9" w:rsidRPr="00545E5A" w:rsidRDefault="00475AC9" w:rsidP="00545E5A">
            <w:pPr>
              <w:jc w:val="left"/>
              <w:rPr>
                <w:rFonts w:cs="Arial"/>
                <w:szCs w:val="24"/>
              </w:rPr>
            </w:pPr>
            <w:r w:rsidRPr="00545E5A">
              <w:rPr>
                <w:rFonts w:cs="Arial"/>
                <w:szCs w:val="24"/>
              </w:rPr>
              <w:lastRenderedPageBreak/>
              <w:t>Novela nabyla účinnosti 1. 6. 2015 - splněno</w:t>
            </w:r>
          </w:p>
        </w:tc>
        <w:tc>
          <w:tcPr>
            <w:tcW w:w="1510" w:type="dxa"/>
            <w:vMerge/>
            <w:vAlign w:val="center"/>
          </w:tcPr>
          <w:p w:rsidR="00475AC9" w:rsidRPr="00545E5A" w:rsidRDefault="00475AC9" w:rsidP="00545E5A">
            <w:pPr>
              <w:jc w:val="left"/>
              <w:rPr>
                <w:rFonts w:cs="Arial"/>
                <w:b/>
                <w:szCs w:val="24"/>
              </w:rPr>
            </w:pPr>
          </w:p>
        </w:tc>
      </w:tr>
      <w:tr w:rsidR="00475AC9" w:rsidRPr="00545E5A" w:rsidTr="00244020">
        <w:trPr>
          <w:trHeight w:val="253"/>
        </w:trPr>
        <w:tc>
          <w:tcPr>
            <w:tcW w:w="537" w:type="dxa"/>
            <w:vMerge/>
            <w:tcBorders>
              <w:bottom w:val="single" w:sz="4" w:space="0" w:color="auto"/>
            </w:tcBorders>
            <w:vAlign w:val="center"/>
          </w:tcPr>
          <w:p w:rsidR="00475AC9" w:rsidRPr="00545E5A" w:rsidRDefault="00475AC9" w:rsidP="00545E5A">
            <w:pPr>
              <w:jc w:val="left"/>
              <w:rPr>
                <w:rFonts w:cs="Arial"/>
                <w:b/>
                <w:szCs w:val="24"/>
              </w:rPr>
            </w:pPr>
          </w:p>
        </w:tc>
        <w:tc>
          <w:tcPr>
            <w:tcW w:w="766" w:type="dxa"/>
            <w:tcBorders>
              <w:bottom w:val="single" w:sz="4" w:space="0" w:color="auto"/>
            </w:tcBorders>
          </w:tcPr>
          <w:p w:rsidR="00475AC9" w:rsidRPr="00545E5A" w:rsidRDefault="00475AC9" w:rsidP="00545E5A">
            <w:pPr>
              <w:rPr>
                <w:rFonts w:cs="Arial"/>
                <w:szCs w:val="24"/>
              </w:rPr>
            </w:pPr>
            <w:r w:rsidRPr="00545E5A">
              <w:rPr>
                <w:rFonts w:cs="Arial"/>
                <w:szCs w:val="24"/>
              </w:rPr>
              <w:t>O1.2</w:t>
            </w:r>
          </w:p>
        </w:tc>
        <w:tc>
          <w:tcPr>
            <w:tcW w:w="6475" w:type="dxa"/>
            <w:vAlign w:val="center"/>
          </w:tcPr>
          <w:p w:rsidR="00475AC9" w:rsidRPr="00545E5A" w:rsidRDefault="00475AC9" w:rsidP="00545E5A">
            <w:pPr>
              <w:jc w:val="left"/>
              <w:rPr>
                <w:rFonts w:cs="Arial"/>
                <w:szCs w:val="24"/>
              </w:rPr>
            </w:pPr>
            <w:r w:rsidRPr="00545E5A">
              <w:rPr>
                <w:rFonts w:cs="Arial"/>
                <w:i/>
                <w:szCs w:val="24"/>
              </w:rPr>
              <w:t>Novela zákona č. 155/1995 Sb.</w:t>
            </w:r>
            <w:r w:rsidR="00C12DC1">
              <w:rPr>
                <w:rFonts w:cs="Arial"/>
                <w:i/>
                <w:szCs w:val="24"/>
              </w:rPr>
              <w:t>, o důchodovém pojištění, ve znění pozdějších předpisů.</w:t>
            </w:r>
          </w:p>
          <w:p w:rsidR="00475AC9" w:rsidRDefault="00DA3B27" w:rsidP="00AF119D">
            <w:pPr>
              <w:rPr>
                <w:rFonts w:cs="Arial"/>
                <w:szCs w:val="24"/>
              </w:rPr>
            </w:pPr>
            <w:r>
              <w:rPr>
                <w:rFonts w:cs="Arial"/>
                <w:szCs w:val="24"/>
              </w:rPr>
              <w:t>Umožní získat nárok na snížený důchodový věk a zvláštní výpočet důchodu i horníkům, kteří nastoupili do zaměstnání v hlubinných dolech se stálým pracovištěm pod zemí po roce 1992</w:t>
            </w:r>
            <w:r w:rsidR="00475AC9" w:rsidRPr="00545E5A">
              <w:rPr>
                <w:rFonts w:cs="Arial"/>
                <w:szCs w:val="24"/>
              </w:rPr>
              <w:t>.</w:t>
            </w:r>
          </w:p>
          <w:p w:rsidR="001D402D" w:rsidRDefault="001D402D" w:rsidP="00AF119D">
            <w:pPr>
              <w:rPr>
                <w:rFonts w:cs="Arial"/>
                <w:szCs w:val="24"/>
              </w:rPr>
            </w:pPr>
          </w:p>
          <w:p w:rsidR="001D402D" w:rsidRPr="00545E5A" w:rsidRDefault="001D402D" w:rsidP="001D402D">
            <w:pPr>
              <w:rPr>
                <w:rFonts w:cs="Arial"/>
                <w:szCs w:val="24"/>
              </w:rPr>
            </w:pPr>
            <w:r>
              <w:rPr>
                <w:rFonts w:cs="Arial"/>
                <w:szCs w:val="24"/>
              </w:rPr>
              <w:t xml:space="preserve">Návrh novely úspěšně prošel legislativním procesem a dne 23. 6. 2016 byl podepsán prezidentem republiky </w:t>
            </w:r>
          </w:p>
        </w:tc>
        <w:tc>
          <w:tcPr>
            <w:tcW w:w="1510" w:type="dxa"/>
            <w:vMerge/>
            <w:vAlign w:val="center"/>
          </w:tcPr>
          <w:p w:rsidR="00475AC9" w:rsidRPr="00545E5A" w:rsidRDefault="00475AC9" w:rsidP="00545E5A">
            <w:pPr>
              <w:jc w:val="left"/>
              <w:rPr>
                <w:rFonts w:cs="Arial"/>
                <w:b/>
                <w:szCs w:val="24"/>
              </w:rPr>
            </w:pPr>
          </w:p>
        </w:tc>
      </w:tr>
      <w:tr w:rsidR="00096B45" w:rsidRPr="00545E5A" w:rsidTr="00244020">
        <w:trPr>
          <w:trHeight w:val="253"/>
        </w:trPr>
        <w:tc>
          <w:tcPr>
            <w:tcW w:w="1303" w:type="dxa"/>
            <w:gridSpan w:val="2"/>
            <w:tcBorders>
              <w:bottom w:val="nil"/>
            </w:tcBorders>
            <w:vAlign w:val="center"/>
          </w:tcPr>
          <w:p w:rsidR="00096B45" w:rsidRPr="00545E5A" w:rsidRDefault="00096B45" w:rsidP="00545E5A">
            <w:pPr>
              <w:jc w:val="left"/>
              <w:rPr>
                <w:rFonts w:cs="Arial"/>
                <w:b/>
                <w:szCs w:val="24"/>
              </w:rPr>
            </w:pPr>
            <w:r w:rsidRPr="00545E5A">
              <w:rPr>
                <w:rFonts w:cs="Arial"/>
                <w:b/>
                <w:szCs w:val="24"/>
              </w:rPr>
              <w:t>S1</w:t>
            </w:r>
          </w:p>
        </w:tc>
        <w:tc>
          <w:tcPr>
            <w:tcW w:w="6475" w:type="dxa"/>
            <w:vAlign w:val="center"/>
          </w:tcPr>
          <w:p w:rsidR="00096B45" w:rsidRPr="00545E5A" w:rsidRDefault="00096B45" w:rsidP="00545E5A">
            <w:pPr>
              <w:jc w:val="left"/>
              <w:rPr>
                <w:rFonts w:cs="Arial"/>
                <w:b/>
                <w:szCs w:val="24"/>
              </w:rPr>
            </w:pPr>
            <w:r w:rsidRPr="00545E5A">
              <w:rPr>
                <w:rFonts w:cs="Arial"/>
                <w:b/>
                <w:szCs w:val="24"/>
              </w:rPr>
              <w:t>Analýza trhu práce</w:t>
            </w:r>
          </w:p>
        </w:tc>
        <w:tc>
          <w:tcPr>
            <w:tcW w:w="1510" w:type="dxa"/>
            <w:vMerge w:val="restart"/>
            <w:vAlign w:val="center"/>
          </w:tcPr>
          <w:p w:rsidR="00096B45" w:rsidRPr="00545E5A" w:rsidRDefault="00096B45" w:rsidP="00545E5A">
            <w:pPr>
              <w:jc w:val="left"/>
              <w:rPr>
                <w:rFonts w:cs="Arial"/>
                <w:b/>
                <w:szCs w:val="24"/>
              </w:rPr>
            </w:pPr>
            <w:r w:rsidRPr="00545E5A">
              <w:rPr>
                <w:rFonts w:cs="Arial"/>
                <w:b/>
                <w:szCs w:val="24"/>
              </w:rPr>
              <w:t>ÚP ČR</w:t>
            </w:r>
          </w:p>
        </w:tc>
      </w:tr>
      <w:tr w:rsidR="00AF119D" w:rsidRPr="00545E5A" w:rsidTr="00244020">
        <w:trPr>
          <w:trHeight w:val="253"/>
        </w:trPr>
        <w:tc>
          <w:tcPr>
            <w:tcW w:w="537" w:type="dxa"/>
            <w:vMerge w:val="restart"/>
            <w:tcBorders>
              <w:top w:val="nil"/>
            </w:tcBorders>
            <w:vAlign w:val="center"/>
          </w:tcPr>
          <w:p w:rsidR="00AF119D" w:rsidRPr="00545E5A" w:rsidRDefault="00AF119D" w:rsidP="00545E5A">
            <w:pPr>
              <w:jc w:val="left"/>
              <w:rPr>
                <w:rFonts w:cs="Arial"/>
                <w:b/>
                <w:szCs w:val="24"/>
              </w:rPr>
            </w:pPr>
          </w:p>
        </w:tc>
        <w:tc>
          <w:tcPr>
            <w:tcW w:w="766" w:type="dxa"/>
            <w:tcBorders>
              <w:top w:val="single" w:sz="4" w:space="0" w:color="auto"/>
              <w:bottom w:val="nil"/>
            </w:tcBorders>
            <w:vAlign w:val="center"/>
          </w:tcPr>
          <w:p w:rsidR="00AF119D" w:rsidRPr="00545E5A" w:rsidRDefault="00AF119D" w:rsidP="00545E5A">
            <w:pPr>
              <w:jc w:val="left"/>
              <w:rPr>
                <w:rFonts w:cs="Arial"/>
                <w:szCs w:val="24"/>
              </w:rPr>
            </w:pPr>
            <w:r w:rsidRPr="00545E5A">
              <w:rPr>
                <w:rFonts w:cs="Arial"/>
                <w:szCs w:val="24"/>
              </w:rPr>
              <w:t>S1.1</w:t>
            </w:r>
          </w:p>
        </w:tc>
        <w:tc>
          <w:tcPr>
            <w:tcW w:w="6475" w:type="dxa"/>
            <w:vAlign w:val="center"/>
          </w:tcPr>
          <w:p w:rsidR="00AF119D" w:rsidRPr="00545E5A" w:rsidRDefault="00AF119D" w:rsidP="00AF119D">
            <w:pPr>
              <w:rPr>
                <w:rFonts w:cs="Arial"/>
                <w:i/>
                <w:szCs w:val="24"/>
              </w:rPr>
            </w:pPr>
            <w:r w:rsidRPr="00545E5A">
              <w:rPr>
                <w:rFonts w:cs="Arial"/>
                <w:i/>
                <w:szCs w:val="24"/>
              </w:rPr>
              <w:t>Analýza nabídky a poptávky na trhu práce</w:t>
            </w:r>
          </w:p>
          <w:p w:rsidR="00AF119D" w:rsidRPr="00545E5A" w:rsidRDefault="00AF119D" w:rsidP="00AF119D">
            <w:pPr>
              <w:rPr>
                <w:rFonts w:cs="Arial"/>
                <w:szCs w:val="24"/>
              </w:rPr>
            </w:pPr>
            <w:r w:rsidRPr="00545E5A">
              <w:rPr>
                <w:rFonts w:cs="Arial"/>
                <w:szCs w:val="24"/>
              </w:rPr>
              <w:t>Pravidelně vyhodnocovat vývoj v nabídce a poptávce na trhu práce, zejména s ohledem na kvalifikaci propuštěných zaměstnanců a jejich uplatnitelnost na trhu práce</w:t>
            </w:r>
            <w:r>
              <w:rPr>
                <w:rFonts w:cs="Arial"/>
                <w:szCs w:val="24"/>
              </w:rPr>
              <w:t>.</w:t>
            </w:r>
          </w:p>
        </w:tc>
        <w:tc>
          <w:tcPr>
            <w:tcW w:w="1510" w:type="dxa"/>
            <w:vMerge/>
            <w:vAlign w:val="center"/>
          </w:tcPr>
          <w:p w:rsidR="00AF119D" w:rsidRPr="00545E5A" w:rsidRDefault="00AF119D" w:rsidP="00545E5A">
            <w:pPr>
              <w:jc w:val="left"/>
              <w:rPr>
                <w:rFonts w:cs="Arial"/>
                <w:b/>
                <w:szCs w:val="24"/>
              </w:rPr>
            </w:pPr>
          </w:p>
        </w:tc>
      </w:tr>
      <w:tr w:rsidR="00AF119D" w:rsidRPr="00545E5A" w:rsidTr="00244020">
        <w:trPr>
          <w:trHeight w:val="253"/>
        </w:trPr>
        <w:tc>
          <w:tcPr>
            <w:tcW w:w="537" w:type="dxa"/>
            <w:vMerge/>
            <w:tcBorders>
              <w:top w:val="nil"/>
            </w:tcBorders>
            <w:vAlign w:val="center"/>
          </w:tcPr>
          <w:p w:rsidR="00AF119D" w:rsidRPr="00545E5A" w:rsidRDefault="00AF119D" w:rsidP="00545E5A">
            <w:pPr>
              <w:jc w:val="left"/>
              <w:rPr>
                <w:rFonts w:cs="Arial"/>
                <w:b/>
                <w:szCs w:val="24"/>
              </w:rPr>
            </w:pPr>
          </w:p>
        </w:tc>
        <w:tc>
          <w:tcPr>
            <w:tcW w:w="766" w:type="dxa"/>
            <w:vAlign w:val="center"/>
          </w:tcPr>
          <w:p w:rsidR="00AF119D" w:rsidRPr="00545E5A" w:rsidRDefault="00AF119D" w:rsidP="00545E5A">
            <w:pPr>
              <w:jc w:val="left"/>
              <w:rPr>
                <w:rFonts w:cs="Arial"/>
                <w:szCs w:val="24"/>
              </w:rPr>
            </w:pPr>
            <w:r w:rsidRPr="00545E5A">
              <w:rPr>
                <w:rFonts w:cs="Arial"/>
                <w:szCs w:val="24"/>
              </w:rPr>
              <w:t>S1.2</w:t>
            </w:r>
          </w:p>
        </w:tc>
        <w:tc>
          <w:tcPr>
            <w:tcW w:w="6475" w:type="dxa"/>
            <w:vAlign w:val="center"/>
          </w:tcPr>
          <w:p w:rsidR="00AF119D" w:rsidRPr="00545E5A" w:rsidRDefault="00AF119D" w:rsidP="00AF119D">
            <w:pPr>
              <w:rPr>
                <w:rFonts w:cs="Arial"/>
                <w:szCs w:val="24"/>
              </w:rPr>
            </w:pPr>
            <w:r w:rsidRPr="00545E5A">
              <w:rPr>
                <w:rFonts w:cs="Arial"/>
                <w:i/>
                <w:szCs w:val="24"/>
              </w:rPr>
              <w:t>Spolupráce se zaměstnavateli</w:t>
            </w:r>
          </w:p>
          <w:p w:rsidR="00AF119D" w:rsidRPr="00545E5A" w:rsidRDefault="00AF119D" w:rsidP="00AF119D">
            <w:pPr>
              <w:rPr>
                <w:rFonts w:cs="Arial"/>
                <w:szCs w:val="24"/>
              </w:rPr>
            </w:pPr>
            <w:r w:rsidRPr="00545E5A">
              <w:rPr>
                <w:rFonts w:cs="Arial"/>
                <w:szCs w:val="24"/>
              </w:rPr>
              <w:t>Aktivní spolupráce se zaměstnavateli při vyhledávání volných pracovních míst, navázat na již stávající efektivní činnost při monitoringu trhu práce</w:t>
            </w:r>
            <w:r>
              <w:rPr>
                <w:rFonts w:cs="Arial"/>
                <w:szCs w:val="24"/>
              </w:rPr>
              <w:t>.</w:t>
            </w:r>
          </w:p>
        </w:tc>
        <w:tc>
          <w:tcPr>
            <w:tcW w:w="1510" w:type="dxa"/>
            <w:vMerge/>
            <w:vAlign w:val="center"/>
          </w:tcPr>
          <w:p w:rsidR="00AF119D" w:rsidRPr="00545E5A" w:rsidRDefault="00AF119D" w:rsidP="00545E5A">
            <w:pPr>
              <w:jc w:val="left"/>
              <w:rPr>
                <w:rFonts w:cs="Arial"/>
                <w:b/>
                <w:szCs w:val="24"/>
              </w:rPr>
            </w:pPr>
          </w:p>
        </w:tc>
      </w:tr>
      <w:tr w:rsidR="00AF119D" w:rsidRPr="00545E5A" w:rsidTr="00244020">
        <w:trPr>
          <w:trHeight w:val="253"/>
        </w:trPr>
        <w:tc>
          <w:tcPr>
            <w:tcW w:w="537" w:type="dxa"/>
            <w:vMerge/>
            <w:tcBorders>
              <w:top w:val="nil"/>
            </w:tcBorders>
            <w:vAlign w:val="center"/>
          </w:tcPr>
          <w:p w:rsidR="00AF119D" w:rsidRPr="00545E5A" w:rsidRDefault="00AF119D" w:rsidP="00545E5A">
            <w:pPr>
              <w:jc w:val="left"/>
              <w:rPr>
                <w:rFonts w:cs="Arial"/>
                <w:b/>
                <w:szCs w:val="24"/>
              </w:rPr>
            </w:pPr>
          </w:p>
        </w:tc>
        <w:tc>
          <w:tcPr>
            <w:tcW w:w="766" w:type="dxa"/>
            <w:vAlign w:val="center"/>
          </w:tcPr>
          <w:p w:rsidR="00AF119D" w:rsidRPr="00545E5A" w:rsidRDefault="00AF119D" w:rsidP="00545E5A">
            <w:pPr>
              <w:jc w:val="left"/>
              <w:rPr>
                <w:rFonts w:cs="Arial"/>
                <w:szCs w:val="24"/>
              </w:rPr>
            </w:pPr>
            <w:r w:rsidRPr="00545E5A">
              <w:rPr>
                <w:rFonts w:cs="Arial"/>
                <w:szCs w:val="24"/>
              </w:rPr>
              <w:t>S1.3</w:t>
            </w:r>
          </w:p>
        </w:tc>
        <w:tc>
          <w:tcPr>
            <w:tcW w:w="6475" w:type="dxa"/>
            <w:vAlign w:val="center"/>
          </w:tcPr>
          <w:p w:rsidR="00AF119D" w:rsidRPr="00545E5A" w:rsidRDefault="00AF119D" w:rsidP="00AF119D">
            <w:pPr>
              <w:rPr>
                <w:rFonts w:cs="Arial"/>
                <w:i/>
                <w:szCs w:val="24"/>
              </w:rPr>
            </w:pPr>
            <w:r w:rsidRPr="00545E5A">
              <w:rPr>
                <w:rFonts w:cs="Arial"/>
                <w:i/>
                <w:szCs w:val="24"/>
              </w:rPr>
              <w:t>Zmapovat firmy návazné na těžební společnosti, které mohou být ovlivněny útlumem těžby</w:t>
            </w:r>
          </w:p>
        </w:tc>
        <w:tc>
          <w:tcPr>
            <w:tcW w:w="1510" w:type="dxa"/>
            <w:vMerge/>
            <w:vAlign w:val="center"/>
          </w:tcPr>
          <w:p w:rsidR="00AF119D" w:rsidRPr="00545E5A" w:rsidRDefault="00AF119D" w:rsidP="00545E5A">
            <w:pPr>
              <w:jc w:val="left"/>
              <w:rPr>
                <w:rFonts w:cs="Arial"/>
                <w:b/>
                <w:szCs w:val="24"/>
              </w:rPr>
            </w:pPr>
          </w:p>
        </w:tc>
      </w:tr>
      <w:tr w:rsidR="00421D4D" w:rsidRPr="00545E5A" w:rsidTr="00244020">
        <w:trPr>
          <w:trHeight w:val="253"/>
        </w:trPr>
        <w:tc>
          <w:tcPr>
            <w:tcW w:w="537" w:type="dxa"/>
            <w:vMerge w:val="restart"/>
            <w:tcBorders>
              <w:right w:val="nil"/>
            </w:tcBorders>
            <w:vAlign w:val="center"/>
          </w:tcPr>
          <w:p w:rsidR="00421D4D" w:rsidRPr="00545E5A" w:rsidRDefault="00421D4D" w:rsidP="00545E5A">
            <w:pPr>
              <w:jc w:val="left"/>
              <w:rPr>
                <w:rFonts w:cs="Arial"/>
                <w:b/>
                <w:szCs w:val="24"/>
              </w:rPr>
            </w:pPr>
            <w:r w:rsidRPr="00545E5A">
              <w:rPr>
                <w:rFonts w:cs="Arial"/>
                <w:b/>
                <w:szCs w:val="24"/>
              </w:rPr>
              <w:t>S2</w:t>
            </w:r>
          </w:p>
        </w:tc>
        <w:tc>
          <w:tcPr>
            <w:tcW w:w="766" w:type="dxa"/>
            <w:tcBorders>
              <w:left w:val="nil"/>
            </w:tcBorders>
          </w:tcPr>
          <w:p w:rsidR="00421D4D" w:rsidRPr="00545E5A" w:rsidRDefault="00421D4D" w:rsidP="00545E5A">
            <w:pPr>
              <w:rPr>
                <w:rFonts w:cs="Arial"/>
                <w:b/>
                <w:szCs w:val="24"/>
              </w:rPr>
            </w:pPr>
          </w:p>
        </w:tc>
        <w:tc>
          <w:tcPr>
            <w:tcW w:w="6475" w:type="dxa"/>
            <w:vAlign w:val="center"/>
          </w:tcPr>
          <w:p w:rsidR="00421D4D" w:rsidRPr="00545E5A" w:rsidRDefault="00421D4D" w:rsidP="00AF119D">
            <w:pPr>
              <w:rPr>
                <w:rFonts w:cs="Arial"/>
                <w:b/>
                <w:szCs w:val="24"/>
              </w:rPr>
            </w:pPr>
            <w:r w:rsidRPr="00545E5A">
              <w:rPr>
                <w:rFonts w:cs="Arial"/>
                <w:b/>
                <w:szCs w:val="24"/>
              </w:rPr>
              <w:t>Cílený program</w:t>
            </w:r>
          </w:p>
        </w:tc>
        <w:tc>
          <w:tcPr>
            <w:tcW w:w="1510" w:type="dxa"/>
            <w:vAlign w:val="center"/>
          </w:tcPr>
          <w:p w:rsidR="00421D4D" w:rsidRPr="00545E5A" w:rsidRDefault="00421D4D" w:rsidP="00545E5A">
            <w:pPr>
              <w:jc w:val="left"/>
              <w:rPr>
                <w:rFonts w:cs="Arial"/>
                <w:b/>
                <w:szCs w:val="24"/>
              </w:rPr>
            </w:pPr>
            <w:r w:rsidRPr="00545E5A">
              <w:rPr>
                <w:rFonts w:cs="Arial"/>
                <w:b/>
                <w:szCs w:val="24"/>
              </w:rPr>
              <w:t>ÚP ČR + MPSV</w:t>
            </w:r>
          </w:p>
        </w:tc>
      </w:tr>
      <w:tr w:rsidR="00421D4D" w:rsidRPr="00545E5A" w:rsidTr="00244020">
        <w:trPr>
          <w:trHeight w:val="253"/>
        </w:trPr>
        <w:tc>
          <w:tcPr>
            <w:tcW w:w="537" w:type="dxa"/>
            <w:vMerge/>
            <w:vAlign w:val="center"/>
          </w:tcPr>
          <w:p w:rsidR="00421D4D" w:rsidRPr="00545E5A" w:rsidRDefault="00421D4D" w:rsidP="00545E5A">
            <w:pPr>
              <w:jc w:val="left"/>
              <w:rPr>
                <w:rFonts w:cs="Arial"/>
                <w:b/>
                <w:szCs w:val="24"/>
              </w:rPr>
            </w:pPr>
          </w:p>
        </w:tc>
        <w:tc>
          <w:tcPr>
            <w:tcW w:w="766" w:type="dxa"/>
          </w:tcPr>
          <w:p w:rsidR="00421D4D" w:rsidRPr="00545E5A" w:rsidRDefault="00421D4D" w:rsidP="00545E5A">
            <w:pPr>
              <w:rPr>
                <w:rFonts w:cs="Arial"/>
                <w:szCs w:val="24"/>
              </w:rPr>
            </w:pPr>
            <w:r w:rsidRPr="00545E5A">
              <w:rPr>
                <w:rFonts w:cs="Arial"/>
                <w:szCs w:val="24"/>
              </w:rPr>
              <w:t>S</w:t>
            </w:r>
            <w:r w:rsidR="004D2A8D" w:rsidRPr="00545E5A">
              <w:rPr>
                <w:rFonts w:cs="Arial"/>
                <w:szCs w:val="24"/>
              </w:rPr>
              <w:t>2</w:t>
            </w:r>
            <w:r w:rsidRPr="00545E5A">
              <w:rPr>
                <w:rFonts w:cs="Arial"/>
                <w:szCs w:val="24"/>
              </w:rPr>
              <w:t>.1</w:t>
            </w:r>
          </w:p>
        </w:tc>
        <w:tc>
          <w:tcPr>
            <w:tcW w:w="6475" w:type="dxa"/>
            <w:vAlign w:val="center"/>
          </w:tcPr>
          <w:p w:rsidR="00421D4D" w:rsidRPr="00545E5A" w:rsidRDefault="00421D4D" w:rsidP="00AF119D">
            <w:pPr>
              <w:rPr>
                <w:rFonts w:cs="Arial"/>
                <w:szCs w:val="24"/>
              </w:rPr>
            </w:pPr>
            <w:r w:rsidRPr="00545E5A">
              <w:rPr>
                <w:rFonts w:cs="Arial"/>
                <w:i/>
                <w:szCs w:val="24"/>
              </w:rPr>
              <w:t>Vytvoření mobilního pracoviště</w:t>
            </w:r>
          </w:p>
          <w:p w:rsidR="00421D4D" w:rsidRPr="00545E5A" w:rsidRDefault="00421D4D" w:rsidP="00AF119D">
            <w:pPr>
              <w:rPr>
                <w:rFonts w:cs="Arial"/>
                <w:szCs w:val="24"/>
              </w:rPr>
            </w:pPr>
            <w:r w:rsidRPr="00545E5A">
              <w:rPr>
                <w:rFonts w:cs="Arial"/>
                <w:szCs w:val="24"/>
              </w:rPr>
              <w:t>Vytvoření mobilního pracoviště ÚP ČR zabezpečujícího prvotní kontakt a poskytnutí základního poradenství propuštěným zaměstnancům jak v oblasti trhu práce, tak sociálních dávek</w:t>
            </w:r>
            <w:r w:rsidR="00AF119D">
              <w:rPr>
                <w:rFonts w:cs="Arial"/>
                <w:szCs w:val="24"/>
              </w:rPr>
              <w:t>.</w:t>
            </w:r>
          </w:p>
        </w:tc>
        <w:tc>
          <w:tcPr>
            <w:tcW w:w="1510" w:type="dxa"/>
            <w:vAlign w:val="center"/>
          </w:tcPr>
          <w:p w:rsidR="00421D4D" w:rsidRPr="00545E5A" w:rsidRDefault="00DA3B27" w:rsidP="00545E5A">
            <w:pPr>
              <w:jc w:val="left"/>
              <w:rPr>
                <w:rFonts w:cs="Arial"/>
                <w:szCs w:val="24"/>
              </w:rPr>
            </w:pPr>
            <w:r>
              <w:rPr>
                <w:rFonts w:cs="Arial"/>
                <w:szCs w:val="24"/>
              </w:rPr>
              <w:t>Ú</w:t>
            </w:r>
            <w:r w:rsidR="00421D4D" w:rsidRPr="00545E5A">
              <w:rPr>
                <w:rFonts w:cs="Arial"/>
                <w:szCs w:val="24"/>
              </w:rPr>
              <w:t>P ČR</w:t>
            </w:r>
          </w:p>
        </w:tc>
      </w:tr>
      <w:tr w:rsidR="00421D4D" w:rsidRPr="00545E5A" w:rsidTr="00244020">
        <w:trPr>
          <w:trHeight w:val="253"/>
        </w:trPr>
        <w:tc>
          <w:tcPr>
            <w:tcW w:w="537" w:type="dxa"/>
            <w:vMerge/>
            <w:vAlign w:val="center"/>
          </w:tcPr>
          <w:p w:rsidR="00421D4D" w:rsidRPr="00545E5A" w:rsidRDefault="00421D4D" w:rsidP="00545E5A">
            <w:pPr>
              <w:jc w:val="left"/>
              <w:rPr>
                <w:rFonts w:cs="Arial"/>
                <w:b/>
                <w:szCs w:val="24"/>
              </w:rPr>
            </w:pPr>
          </w:p>
        </w:tc>
        <w:tc>
          <w:tcPr>
            <w:tcW w:w="766" w:type="dxa"/>
          </w:tcPr>
          <w:p w:rsidR="00421D4D" w:rsidRPr="00545E5A" w:rsidRDefault="004D2A8D" w:rsidP="00545E5A">
            <w:pPr>
              <w:rPr>
                <w:rFonts w:cs="Arial"/>
                <w:szCs w:val="24"/>
              </w:rPr>
            </w:pPr>
            <w:r w:rsidRPr="00545E5A">
              <w:rPr>
                <w:rFonts w:cs="Arial"/>
                <w:szCs w:val="24"/>
              </w:rPr>
              <w:t>S2</w:t>
            </w:r>
            <w:r w:rsidR="00421D4D" w:rsidRPr="00545E5A">
              <w:rPr>
                <w:rFonts w:cs="Arial"/>
                <w:szCs w:val="24"/>
              </w:rPr>
              <w:t>.2</w:t>
            </w:r>
          </w:p>
        </w:tc>
        <w:tc>
          <w:tcPr>
            <w:tcW w:w="6475" w:type="dxa"/>
            <w:vAlign w:val="center"/>
          </w:tcPr>
          <w:p w:rsidR="00421D4D" w:rsidRPr="00545E5A" w:rsidRDefault="00421D4D" w:rsidP="00AF119D">
            <w:pPr>
              <w:rPr>
                <w:rFonts w:cs="Arial"/>
                <w:szCs w:val="24"/>
              </w:rPr>
            </w:pPr>
            <w:r w:rsidRPr="00545E5A">
              <w:rPr>
                <w:rFonts w:cs="Arial"/>
                <w:i/>
                <w:szCs w:val="24"/>
              </w:rPr>
              <w:t>Rekvalifikace a poradenství</w:t>
            </w:r>
          </w:p>
          <w:p w:rsidR="00421D4D" w:rsidRPr="00545E5A" w:rsidRDefault="00421D4D" w:rsidP="00AF119D">
            <w:pPr>
              <w:rPr>
                <w:rFonts w:cs="Arial"/>
                <w:szCs w:val="24"/>
              </w:rPr>
            </w:pPr>
            <w:r w:rsidRPr="00545E5A">
              <w:rPr>
                <w:rFonts w:cs="Arial"/>
                <w:szCs w:val="24"/>
              </w:rPr>
              <w:t>Zabezpečení vhodných rekvalifikačních kurzů odpovídajících jak poptávce po pracovní síle, tak stávající kvalifikaci propuštěných zaměstnanců</w:t>
            </w:r>
            <w:r w:rsidR="00AF119D">
              <w:rPr>
                <w:rFonts w:cs="Arial"/>
                <w:szCs w:val="24"/>
              </w:rPr>
              <w:t>.</w:t>
            </w:r>
          </w:p>
        </w:tc>
        <w:tc>
          <w:tcPr>
            <w:tcW w:w="1510" w:type="dxa"/>
            <w:vAlign w:val="center"/>
          </w:tcPr>
          <w:p w:rsidR="00421D4D" w:rsidRPr="00545E5A" w:rsidRDefault="00DA3B27" w:rsidP="00545E5A">
            <w:pPr>
              <w:jc w:val="left"/>
              <w:rPr>
                <w:rFonts w:cs="Arial"/>
                <w:szCs w:val="24"/>
              </w:rPr>
            </w:pPr>
            <w:r>
              <w:rPr>
                <w:rFonts w:cs="Arial"/>
                <w:szCs w:val="24"/>
              </w:rPr>
              <w:t>Ú</w:t>
            </w:r>
            <w:r w:rsidR="00421D4D" w:rsidRPr="00545E5A">
              <w:rPr>
                <w:rFonts w:cs="Arial"/>
                <w:szCs w:val="24"/>
              </w:rPr>
              <w:t>P ČR</w:t>
            </w:r>
          </w:p>
        </w:tc>
      </w:tr>
      <w:tr w:rsidR="00421D4D" w:rsidRPr="00545E5A" w:rsidTr="00244020">
        <w:trPr>
          <w:trHeight w:val="253"/>
        </w:trPr>
        <w:tc>
          <w:tcPr>
            <w:tcW w:w="537" w:type="dxa"/>
            <w:vMerge/>
            <w:vAlign w:val="center"/>
          </w:tcPr>
          <w:p w:rsidR="00421D4D" w:rsidRPr="00545E5A" w:rsidRDefault="00421D4D" w:rsidP="00545E5A">
            <w:pPr>
              <w:jc w:val="left"/>
              <w:rPr>
                <w:rFonts w:cs="Arial"/>
                <w:b/>
                <w:szCs w:val="24"/>
              </w:rPr>
            </w:pPr>
          </w:p>
        </w:tc>
        <w:tc>
          <w:tcPr>
            <w:tcW w:w="766" w:type="dxa"/>
          </w:tcPr>
          <w:p w:rsidR="00421D4D" w:rsidRPr="00545E5A" w:rsidRDefault="004D2A8D" w:rsidP="00545E5A">
            <w:pPr>
              <w:rPr>
                <w:rFonts w:cs="Arial"/>
                <w:szCs w:val="24"/>
              </w:rPr>
            </w:pPr>
            <w:r w:rsidRPr="00545E5A">
              <w:rPr>
                <w:rFonts w:cs="Arial"/>
                <w:szCs w:val="24"/>
              </w:rPr>
              <w:t>S2</w:t>
            </w:r>
            <w:r w:rsidR="00421D4D" w:rsidRPr="00545E5A">
              <w:rPr>
                <w:rFonts w:cs="Arial"/>
                <w:szCs w:val="24"/>
              </w:rPr>
              <w:t>.3</w:t>
            </w:r>
          </w:p>
        </w:tc>
        <w:tc>
          <w:tcPr>
            <w:tcW w:w="6475" w:type="dxa"/>
            <w:vAlign w:val="center"/>
          </w:tcPr>
          <w:p w:rsidR="00421D4D" w:rsidRPr="00545E5A" w:rsidRDefault="00421D4D" w:rsidP="00AF119D">
            <w:pPr>
              <w:rPr>
                <w:rFonts w:cs="Arial"/>
                <w:szCs w:val="24"/>
              </w:rPr>
            </w:pPr>
            <w:r w:rsidRPr="00545E5A">
              <w:rPr>
                <w:rFonts w:cs="Arial"/>
                <w:i/>
                <w:szCs w:val="24"/>
              </w:rPr>
              <w:t>Dotovaná pracovní místa</w:t>
            </w:r>
          </w:p>
          <w:p w:rsidR="00421D4D" w:rsidRPr="00545E5A" w:rsidRDefault="00421D4D" w:rsidP="00AF119D">
            <w:pPr>
              <w:pStyle w:val="Odstavecseseznamem"/>
              <w:numPr>
                <w:ilvl w:val="0"/>
                <w:numId w:val="17"/>
              </w:numPr>
              <w:rPr>
                <w:rFonts w:cs="Arial"/>
                <w:szCs w:val="24"/>
              </w:rPr>
            </w:pPr>
            <w:r w:rsidRPr="00545E5A">
              <w:rPr>
                <w:rFonts w:cs="Arial"/>
                <w:szCs w:val="24"/>
              </w:rPr>
              <w:t xml:space="preserve">Podpora vytváření nových pracovních míst prostřednictvím </w:t>
            </w:r>
            <w:r w:rsidR="00C12DC1">
              <w:rPr>
                <w:rFonts w:cs="Arial"/>
                <w:szCs w:val="24"/>
              </w:rPr>
              <w:t>aktivní politiky zaměstnanosti (dále jen „</w:t>
            </w:r>
            <w:r w:rsidRPr="00545E5A">
              <w:rPr>
                <w:rFonts w:cs="Arial"/>
                <w:szCs w:val="24"/>
              </w:rPr>
              <w:t>APZ</w:t>
            </w:r>
            <w:r w:rsidR="00C12DC1">
              <w:rPr>
                <w:rFonts w:cs="Arial"/>
                <w:szCs w:val="24"/>
              </w:rPr>
              <w:t>“)</w:t>
            </w:r>
            <w:r w:rsidR="00AF119D">
              <w:rPr>
                <w:rFonts w:cs="Arial"/>
                <w:szCs w:val="24"/>
              </w:rPr>
              <w:t>,</w:t>
            </w:r>
          </w:p>
          <w:p w:rsidR="00421D4D" w:rsidRPr="00545E5A" w:rsidRDefault="008C38E7" w:rsidP="00AF119D">
            <w:pPr>
              <w:pStyle w:val="Odstavecseseznamem"/>
              <w:numPr>
                <w:ilvl w:val="0"/>
                <w:numId w:val="17"/>
              </w:numPr>
              <w:rPr>
                <w:rFonts w:cs="Arial"/>
                <w:szCs w:val="24"/>
              </w:rPr>
            </w:pPr>
            <w:r w:rsidRPr="00545E5A">
              <w:rPr>
                <w:rFonts w:cs="Arial"/>
                <w:szCs w:val="24"/>
              </w:rPr>
              <w:t>zabezpečit možnost poskytovat podporu propuštěným zaměstnancům již</w:t>
            </w:r>
            <w:r w:rsidR="00AF119D">
              <w:rPr>
                <w:rFonts w:cs="Arial"/>
                <w:szCs w:val="24"/>
              </w:rPr>
              <w:t xml:space="preserve"> ve fázi propuštění (zájemcům o </w:t>
            </w:r>
            <w:r w:rsidRPr="00545E5A">
              <w:rPr>
                <w:rFonts w:cs="Arial"/>
                <w:szCs w:val="24"/>
              </w:rPr>
              <w:t>zaměstnání</w:t>
            </w:r>
            <w:r w:rsidR="00C12DC1">
              <w:rPr>
                <w:rFonts w:cs="Arial"/>
                <w:szCs w:val="24"/>
              </w:rPr>
              <w:t>)</w:t>
            </w:r>
            <w:r w:rsidR="00E9643C">
              <w:rPr>
                <w:rFonts w:cs="Arial"/>
                <w:szCs w:val="24"/>
              </w:rPr>
              <w:t>.</w:t>
            </w:r>
          </w:p>
          <w:p w:rsidR="00421D4D" w:rsidRPr="00545E5A" w:rsidRDefault="00421D4D" w:rsidP="00AF119D">
            <w:pPr>
              <w:rPr>
                <w:rFonts w:cs="Arial"/>
                <w:szCs w:val="24"/>
              </w:rPr>
            </w:pPr>
          </w:p>
        </w:tc>
        <w:tc>
          <w:tcPr>
            <w:tcW w:w="1510" w:type="dxa"/>
            <w:vAlign w:val="center"/>
          </w:tcPr>
          <w:p w:rsidR="008C38E7" w:rsidRPr="00545E5A" w:rsidRDefault="008C38E7" w:rsidP="00545E5A">
            <w:pPr>
              <w:jc w:val="left"/>
              <w:rPr>
                <w:rFonts w:cs="Arial"/>
                <w:szCs w:val="24"/>
              </w:rPr>
            </w:pPr>
            <w:r w:rsidRPr="00545E5A">
              <w:rPr>
                <w:rFonts w:cs="Arial"/>
                <w:szCs w:val="24"/>
              </w:rPr>
              <w:t>ÚP ČR</w:t>
            </w:r>
          </w:p>
          <w:p w:rsidR="008C38E7" w:rsidRPr="00545E5A" w:rsidRDefault="008C38E7" w:rsidP="00545E5A">
            <w:pPr>
              <w:jc w:val="left"/>
              <w:rPr>
                <w:rFonts w:cs="Arial"/>
                <w:szCs w:val="24"/>
              </w:rPr>
            </w:pPr>
            <w:r w:rsidRPr="00545E5A">
              <w:rPr>
                <w:rFonts w:cs="Arial"/>
                <w:szCs w:val="24"/>
              </w:rPr>
              <w:t>MPSV</w:t>
            </w:r>
          </w:p>
        </w:tc>
      </w:tr>
      <w:tr w:rsidR="008C38E7" w:rsidRPr="00545E5A" w:rsidTr="00244020">
        <w:trPr>
          <w:trHeight w:val="253"/>
        </w:trPr>
        <w:tc>
          <w:tcPr>
            <w:tcW w:w="1303" w:type="dxa"/>
            <w:gridSpan w:val="2"/>
            <w:vAlign w:val="center"/>
          </w:tcPr>
          <w:p w:rsidR="008C38E7" w:rsidRPr="00545E5A" w:rsidRDefault="008C38E7" w:rsidP="00545E5A">
            <w:pPr>
              <w:jc w:val="left"/>
              <w:rPr>
                <w:rFonts w:cs="Arial"/>
                <w:b/>
                <w:szCs w:val="24"/>
              </w:rPr>
            </w:pPr>
            <w:r w:rsidRPr="00545E5A">
              <w:rPr>
                <w:rFonts w:cs="Arial"/>
                <w:b/>
                <w:szCs w:val="24"/>
              </w:rPr>
              <w:t>S3</w:t>
            </w:r>
          </w:p>
        </w:tc>
        <w:tc>
          <w:tcPr>
            <w:tcW w:w="6475" w:type="dxa"/>
            <w:vAlign w:val="center"/>
          </w:tcPr>
          <w:p w:rsidR="008C38E7" w:rsidRPr="00545E5A" w:rsidRDefault="008C38E7" w:rsidP="00E9643C">
            <w:pPr>
              <w:rPr>
                <w:rFonts w:cs="Arial"/>
                <w:szCs w:val="24"/>
              </w:rPr>
            </w:pPr>
            <w:r w:rsidRPr="00545E5A">
              <w:rPr>
                <w:rFonts w:cs="Arial"/>
                <w:b/>
                <w:szCs w:val="24"/>
              </w:rPr>
              <w:t>Podpora regionální mobility</w:t>
            </w:r>
          </w:p>
          <w:p w:rsidR="008C38E7" w:rsidRPr="00545E5A" w:rsidRDefault="008C38E7" w:rsidP="00E9643C">
            <w:pPr>
              <w:rPr>
                <w:rFonts w:cs="Arial"/>
                <w:szCs w:val="24"/>
              </w:rPr>
            </w:pPr>
            <w:r w:rsidRPr="00545E5A">
              <w:rPr>
                <w:rFonts w:cs="Arial"/>
                <w:szCs w:val="24"/>
              </w:rPr>
              <w:t>Spuštění pilotního ověřování nového příspěvku APZ – zahájeno v dubnu 2016</w:t>
            </w:r>
            <w:r w:rsidR="001D402D">
              <w:rPr>
                <w:rFonts w:cs="Arial"/>
                <w:szCs w:val="24"/>
              </w:rPr>
              <w:t xml:space="preserve">. Od července provedeny parametrické úpravy a rozšířena pilotáž o </w:t>
            </w:r>
            <w:proofErr w:type="spellStart"/>
            <w:r w:rsidR="001D402D">
              <w:rPr>
                <w:rFonts w:cs="Arial"/>
                <w:szCs w:val="24"/>
              </w:rPr>
              <w:t>Královehradecký</w:t>
            </w:r>
            <w:proofErr w:type="spellEnd"/>
            <w:r w:rsidR="001D402D">
              <w:rPr>
                <w:rFonts w:cs="Arial"/>
                <w:szCs w:val="24"/>
              </w:rPr>
              <w:t xml:space="preserve"> kraj</w:t>
            </w:r>
          </w:p>
        </w:tc>
        <w:tc>
          <w:tcPr>
            <w:tcW w:w="1510" w:type="dxa"/>
            <w:vAlign w:val="center"/>
          </w:tcPr>
          <w:p w:rsidR="008C38E7" w:rsidRPr="00545E5A" w:rsidRDefault="008C38E7" w:rsidP="00545E5A">
            <w:pPr>
              <w:jc w:val="left"/>
              <w:rPr>
                <w:rFonts w:cs="Arial"/>
                <w:b/>
                <w:szCs w:val="24"/>
              </w:rPr>
            </w:pPr>
            <w:r w:rsidRPr="00545E5A">
              <w:rPr>
                <w:rFonts w:cs="Arial"/>
                <w:b/>
                <w:szCs w:val="24"/>
              </w:rPr>
              <w:t>MPSV + ÚP ČR</w:t>
            </w:r>
          </w:p>
        </w:tc>
      </w:tr>
      <w:tr w:rsidR="00096B45" w:rsidRPr="00545E5A" w:rsidTr="00244020">
        <w:trPr>
          <w:trHeight w:val="396"/>
        </w:trPr>
        <w:tc>
          <w:tcPr>
            <w:tcW w:w="537" w:type="dxa"/>
            <w:vMerge w:val="restart"/>
            <w:tcBorders>
              <w:right w:val="nil"/>
            </w:tcBorders>
            <w:vAlign w:val="center"/>
          </w:tcPr>
          <w:p w:rsidR="00096B45" w:rsidRPr="00545E5A" w:rsidRDefault="00096B45" w:rsidP="00545E5A">
            <w:pPr>
              <w:jc w:val="left"/>
              <w:rPr>
                <w:rFonts w:cs="Arial"/>
                <w:b/>
                <w:szCs w:val="24"/>
              </w:rPr>
            </w:pPr>
            <w:r w:rsidRPr="00545E5A">
              <w:rPr>
                <w:rFonts w:cs="Arial"/>
                <w:b/>
                <w:szCs w:val="24"/>
              </w:rPr>
              <w:t>S4</w:t>
            </w:r>
          </w:p>
        </w:tc>
        <w:tc>
          <w:tcPr>
            <w:tcW w:w="766" w:type="dxa"/>
            <w:tcBorders>
              <w:left w:val="nil"/>
            </w:tcBorders>
            <w:vAlign w:val="center"/>
          </w:tcPr>
          <w:p w:rsidR="00096B45" w:rsidRPr="00545E5A" w:rsidRDefault="00096B45" w:rsidP="00545E5A">
            <w:pPr>
              <w:jc w:val="left"/>
              <w:rPr>
                <w:rFonts w:cs="Arial"/>
                <w:b/>
                <w:szCs w:val="24"/>
              </w:rPr>
            </w:pPr>
          </w:p>
        </w:tc>
        <w:tc>
          <w:tcPr>
            <w:tcW w:w="6475" w:type="dxa"/>
            <w:vAlign w:val="center"/>
          </w:tcPr>
          <w:p w:rsidR="00096B45" w:rsidRPr="00545E5A" w:rsidRDefault="00096B45" w:rsidP="00E9643C">
            <w:pPr>
              <w:rPr>
                <w:rFonts w:cs="Arial"/>
                <w:szCs w:val="24"/>
              </w:rPr>
            </w:pPr>
            <w:r w:rsidRPr="00545E5A">
              <w:rPr>
                <w:rFonts w:cs="Arial"/>
                <w:b/>
                <w:szCs w:val="24"/>
              </w:rPr>
              <w:t>Aktivní politika zaměstnanosti</w:t>
            </w:r>
          </w:p>
        </w:tc>
        <w:tc>
          <w:tcPr>
            <w:tcW w:w="1510" w:type="dxa"/>
            <w:vAlign w:val="center"/>
          </w:tcPr>
          <w:p w:rsidR="00096B45" w:rsidRPr="00545E5A" w:rsidRDefault="00096B45" w:rsidP="00545E5A">
            <w:pPr>
              <w:jc w:val="left"/>
              <w:rPr>
                <w:rFonts w:cs="Arial"/>
                <w:b/>
                <w:szCs w:val="24"/>
              </w:rPr>
            </w:pPr>
            <w:r w:rsidRPr="00545E5A">
              <w:rPr>
                <w:rFonts w:cs="Arial"/>
                <w:b/>
                <w:szCs w:val="24"/>
              </w:rPr>
              <w:t>MPSV +</w:t>
            </w:r>
          </w:p>
          <w:p w:rsidR="00096B45" w:rsidRPr="00545E5A" w:rsidRDefault="00096B45" w:rsidP="00545E5A">
            <w:pPr>
              <w:jc w:val="left"/>
              <w:rPr>
                <w:rFonts w:cs="Arial"/>
                <w:b/>
                <w:szCs w:val="24"/>
              </w:rPr>
            </w:pPr>
            <w:r w:rsidRPr="00545E5A">
              <w:rPr>
                <w:rFonts w:cs="Arial"/>
                <w:b/>
                <w:szCs w:val="24"/>
              </w:rPr>
              <w:t>ÚP ČR</w:t>
            </w:r>
          </w:p>
        </w:tc>
      </w:tr>
      <w:tr w:rsidR="00096B45" w:rsidRPr="00545E5A" w:rsidTr="00244020">
        <w:trPr>
          <w:trHeight w:val="253"/>
        </w:trPr>
        <w:tc>
          <w:tcPr>
            <w:tcW w:w="537" w:type="dxa"/>
            <w:vMerge/>
            <w:vAlign w:val="center"/>
          </w:tcPr>
          <w:p w:rsidR="00096B45" w:rsidRPr="00545E5A" w:rsidRDefault="00096B45" w:rsidP="00545E5A">
            <w:pPr>
              <w:jc w:val="left"/>
              <w:rPr>
                <w:rFonts w:cs="Arial"/>
                <w:b/>
                <w:szCs w:val="24"/>
              </w:rPr>
            </w:pPr>
          </w:p>
        </w:tc>
        <w:tc>
          <w:tcPr>
            <w:tcW w:w="766" w:type="dxa"/>
            <w:vAlign w:val="center"/>
          </w:tcPr>
          <w:p w:rsidR="00096B45" w:rsidRPr="00545E5A" w:rsidRDefault="00096B45" w:rsidP="00545E5A">
            <w:pPr>
              <w:jc w:val="left"/>
              <w:rPr>
                <w:rFonts w:cs="Arial"/>
                <w:szCs w:val="24"/>
              </w:rPr>
            </w:pPr>
            <w:r w:rsidRPr="00545E5A">
              <w:rPr>
                <w:rFonts w:cs="Arial"/>
                <w:szCs w:val="24"/>
              </w:rPr>
              <w:t>S4.1</w:t>
            </w:r>
          </w:p>
        </w:tc>
        <w:tc>
          <w:tcPr>
            <w:tcW w:w="6475" w:type="dxa"/>
            <w:vAlign w:val="center"/>
          </w:tcPr>
          <w:p w:rsidR="00096B45" w:rsidRPr="00545E5A" w:rsidRDefault="00096B45" w:rsidP="00E9643C">
            <w:pPr>
              <w:rPr>
                <w:rFonts w:cs="Arial"/>
                <w:b/>
                <w:szCs w:val="24"/>
              </w:rPr>
            </w:pPr>
            <w:r w:rsidRPr="00545E5A">
              <w:rPr>
                <w:rFonts w:cs="Arial"/>
                <w:i/>
                <w:szCs w:val="24"/>
              </w:rPr>
              <w:t>Zabezpečení dostatečných finančních prostředků na realizaci APZ v</w:t>
            </w:r>
            <w:r w:rsidR="00E9643C">
              <w:rPr>
                <w:rFonts w:cs="Arial"/>
                <w:i/>
                <w:szCs w:val="24"/>
              </w:rPr>
              <w:t> </w:t>
            </w:r>
            <w:r w:rsidRPr="00545E5A">
              <w:rPr>
                <w:rFonts w:cs="Arial"/>
                <w:i/>
                <w:szCs w:val="24"/>
              </w:rPr>
              <w:t>ULK</w:t>
            </w:r>
            <w:r w:rsidR="00E9643C">
              <w:rPr>
                <w:rFonts w:cs="Arial"/>
                <w:i/>
                <w:szCs w:val="24"/>
              </w:rPr>
              <w:t>.</w:t>
            </w:r>
          </w:p>
        </w:tc>
        <w:tc>
          <w:tcPr>
            <w:tcW w:w="1510" w:type="dxa"/>
            <w:vAlign w:val="center"/>
          </w:tcPr>
          <w:p w:rsidR="00096B45" w:rsidRPr="00545E5A" w:rsidRDefault="00096B45" w:rsidP="00545E5A">
            <w:pPr>
              <w:jc w:val="left"/>
              <w:rPr>
                <w:rFonts w:cs="Arial"/>
                <w:szCs w:val="24"/>
              </w:rPr>
            </w:pPr>
            <w:r w:rsidRPr="00545E5A">
              <w:rPr>
                <w:rFonts w:cs="Arial"/>
                <w:szCs w:val="24"/>
              </w:rPr>
              <w:t>MPSV</w:t>
            </w:r>
          </w:p>
        </w:tc>
      </w:tr>
      <w:tr w:rsidR="00096B45" w:rsidRPr="00545E5A" w:rsidTr="00244020">
        <w:trPr>
          <w:trHeight w:val="253"/>
        </w:trPr>
        <w:tc>
          <w:tcPr>
            <w:tcW w:w="537" w:type="dxa"/>
            <w:vMerge/>
            <w:tcBorders>
              <w:bottom w:val="nil"/>
            </w:tcBorders>
            <w:vAlign w:val="center"/>
          </w:tcPr>
          <w:p w:rsidR="00096B45" w:rsidRPr="00545E5A" w:rsidRDefault="00096B45" w:rsidP="00545E5A">
            <w:pPr>
              <w:jc w:val="left"/>
              <w:rPr>
                <w:rFonts w:cs="Arial"/>
                <w:b/>
                <w:szCs w:val="24"/>
              </w:rPr>
            </w:pPr>
          </w:p>
        </w:tc>
        <w:tc>
          <w:tcPr>
            <w:tcW w:w="766" w:type="dxa"/>
            <w:vAlign w:val="center"/>
          </w:tcPr>
          <w:p w:rsidR="00096B45" w:rsidRPr="00545E5A" w:rsidRDefault="00096B45" w:rsidP="00545E5A">
            <w:pPr>
              <w:jc w:val="left"/>
              <w:rPr>
                <w:rFonts w:cs="Arial"/>
                <w:szCs w:val="24"/>
              </w:rPr>
            </w:pPr>
            <w:r w:rsidRPr="00545E5A">
              <w:rPr>
                <w:rFonts w:cs="Arial"/>
                <w:szCs w:val="24"/>
              </w:rPr>
              <w:t>S4.2</w:t>
            </w:r>
          </w:p>
        </w:tc>
        <w:tc>
          <w:tcPr>
            <w:tcW w:w="6475" w:type="dxa"/>
            <w:vAlign w:val="center"/>
          </w:tcPr>
          <w:p w:rsidR="00096B45" w:rsidRPr="00545E5A" w:rsidRDefault="00096B45" w:rsidP="00E9643C">
            <w:pPr>
              <w:rPr>
                <w:rFonts w:cs="Arial"/>
                <w:i/>
                <w:szCs w:val="24"/>
              </w:rPr>
            </w:pPr>
            <w:r w:rsidRPr="00545E5A">
              <w:rPr>
                <w:rFonts w:cs="Arial"/>
                <w:i/>
                <w:szCs w:val="24"/>
              </w:rPr>
              <w:t>Při alokaci finančních prostředků na APZ (národní i ESF) zohledňovat potřeby strukturálně postižených regionů – využít tzv. „koeficient potřebnosti“</w:t>
            </w:r>
            <w:r w:rsidR="00E9643C">
              <w:rPr>
                <w:rFonts w:cs="Arial"/>
                <w:i/>
                <w:szCs w:val="24"/>
              </w:rPr>
              <w:t>.</w:t>
            </w:r>
          </w:p>
        </w:tc>
        <w:tc>
          <w:tcPr>
            <w:tcW w:w="1510" w:type="dxa"/>
            <w:vAlign w:val="center"/>
          </w:tcPr>
          <w:p w:rsidR="00096B45" w:rsidRPr="00545E5A" w:rsidRDefault="00096B45" w:rsidP="00545E5A">
            <w:pPr>
              <w:jc w:val="left"/>
              <w:rPr>
                <w:rFonts w:cs="Arial"/>
                <w:szCs w:val="24"/>
              </w:rPr>
            </w:pPr>
            <w:r w:rsidRPr="00545E5A">
              <w:rPr>
                <w:rFonts w:cs="Arial"/>
                <w:szCs w:val="24"/>
              </w:rPr>
              <w:t>UP ČR</w:t>
            </w:r>
          </w:p>
        </w:tc>
      </w:tr>
      <w:tr w:rsidR="004D2A8D" w:rsidRPr="00545E5A" w:rsidTr="00244020">
        <w:trPr>
          <w:trHeight w:val="253"/>
        </w:trPr>
        <w:tc>
          <w:tcPr>
            <w:tcW w:w="537" w:type="dxa"/>
            <w:tcBorders>
              <w:top w:val="nil"/>
            </w:tcBorders>
            <w:vAlign w:val="center"/>
          </w:tcPr>
          <w:p w:rsidR="004D2A8D" w:rsidRPr="00545E5A" w:rsidRDefault="004D2A8D" w:rsidP="00545E5A">
            <w:pPr>
              <w:jc w:val="left"/>
              <w:rPr>
                <w:rFonts w:cs="Arial"/>
                <w:b/>
                <w:szCs w:val="24"/>
              </w:rPr>
            </w:pPr>
          </w:p>
        </w:tc>
        <w:tc>
          <w:tcPr>
            <w:tcW w:w="766" w:type="dxa"/>
            <w:vAlign w:val="center"/>
          </w:tcPr>
          <w:p w:rsidR="004D2A8D" w:rsidRPr="00545E5A" w:rsidRDefault="004D2A8D" w:rsidP="00545E5A">
            <w:pPr>
              <w:jc w:val="left"/>
              <w:rPr>
                <w:rFonts w:cs="Arial"/>
                <w:szCs w:val="24"/>
              </w:rPr>
            </w:pPr>
            <w:r w:rsidRPr="00545E5A">
              <w:rPr>
                <w:rFonts w:cs="Arial"/>
                <w:szCs w:val="24"/>
              </w:rPr>
              <w:t>S4.3</w:t>
            </w:r>
          </w:p>
        </w:tc>
        <w:tc>
          <w:tcPr>
            <w:tcW w:w="6475" w:type="dxa"/>
            <w:vAlign w:val="center"/>
          </w:tcPr>
          <w:p w:rsidR="004D2A8D" w:rsidRPr="00545E5A" w:rsidRDefault="00096B45" w:rsidP="00E9643C">
            <w:pPr>
              <w:rPr>
                <w:rFonts w:cs="Arial"/>
                <w:i/>
                <w:szCs w:val="24"/>
              </w:rPr>
            </w:pPr>
            <w:r w:rsidRPr="00545E5A">
              <w:rPr>
                <w:rFonts w:cs="Arial"/>
                <w:i/>
                <w:szCs w:val="24"/>
              </w:rPr>
              <w:t>Realizovat specificky zaměřené regionální projekty v ULK, včetně podpory mladých osob při vstupu na trh práce</w:t>
            </w:r>
            <w:r w:rsidR="00E9643C">
              <w:rPr>
                <w:rFonts w:cs="Arial"/>
                <w:i/>
                <w:szCs w:val="24"/>
              </w:rPr>
              <w:t>.</w:t>
            </w:r>
          </w:p>
        </w:tc>
        <w:tc>
          <w:tcPr>
            <w:tcW w:w="1510" w:type="dxa"/>
            <w:vAlign w:val="center"/>
          </w:tcPr>
          <w:p w:rsidR="004D2A8D" w:rsidRPr="00545E5A" w:rsidRDefault="00096B45" w:rsidP="00545E5A">
            <w:pPr>
              <w:jc w:val="left"/>
              <w:rPr>
                <w:rFonts w:cs="Arial"/>
                <w:szCs w:val="24"/>
              </w:rPr>
            </w:pPr>
            <w:r w:rsidRPr="00545E5A">
              <w:rPr>
                <w:rFonts w:cs="Arial"/>
                <w:szCs w:val="24"/>
              </w:rPr>
              <w:t>ÚP ČR</w:t>
            </w:r>
          </w:p>
        </w:tc>
      </w:tr>
      <w:tr w:rsidR="008C38E7" w:rsidRPr="00545E5A" w:rsidTr="00244020">
        <w:trPr>
          <w:trHeight w:val="253"/>
        </w:trPr>
        <w:tc>
          <w:tcPr>
            <w:tcW w:w="1303" w:type="dxa"/>
            <w:gridSpan w:val="2"/>
            <w:vAlign w:val="center"/>
          </w:tcPr>
          <w:p w:rsidR="008C38E7" w:rsidRPr="00545E5A" w:rsidRDefault="008C38E7" w:rsidP="00545E5A">
            <w:pPr>
              <w:jc w:val="left"/>
              <w:rPr>
                <w:rFonts w:cs="Arial"/>
                <w:b/>
                <w:szCs w:val="24"/>
              </w:rPr>
            </w:pPr>
            <w:r w:rsidRPr="00545E5A">
              <w:rPr>
                <w:rFonts w:cs="Arial"/>
                <w:b/>
                <w:szCs w:val="24"/>
              </w:rPr>
              <w:t>J1</w:t>
            </w:r>
          </w:p>
        </w:tc>
        <w:tc>
          <w:tcPr>
            <w:tcW w:w="6475" w:type="dxa"/>
            <w:vAlign w:val="center"/>
          </w:tcPr>
          <w:p w:rsidR="008C38E7" w:rsidRPr="00545E5A" w:rsidRDefault="008C38E7" w:rsidP="00E9643C">
            <w:pPr>
              <w:rPr>
                <w:rFonts w:cs="Arial"/>
                <w:szCs w:val="24"/>
              </w:rPr>
            </w:pPr>
            <w:r w:rsidRPr="00545E5A">
              <w:rPr>
                <w:rFonts w:cs="Arial"/>
                <w:b/>
                <w:szCs w:val="24"/>
              </w:rPr>
              <w:t>Nařízení vlády ke zmírnění sociálních dopadů</w:t>
            </w:r>
          </w:p>
          <w:p w:rsidR="008C38E7" w:rsidRPr="00545E5A" w:rsidRDefault="00092207" w:rsidP="00E9643C">
            <w:pPr>
              <w:rPr>
                <w:rFonts w:cs="Arial"/>
                <w:szCs w:val="24"/>
              </w:rPr>
            </w:pPr>
            <w:r>
              <w:rPr>
                <w:rFonts w:cs="Arial"/>
                <w:szCs w:val="24"/>
              </w:rPr>
              <w:t>P</w:t>
            </w:r>
            <w:r w:rsidR="008C38E7" w:rsidRPr="00545E5A">
              <w:rPr>
                <w:rFonts w:cs="Arial"/>
                <w:szCs w:val="24"/>
              </w:rPr>
              <w:t xml:space="preserve">říspěvek ke zmírnění sociálních dopadů souvisejících s </w:t>
            </w:r>
            <w:r w:rsidR="008C38E7" w:rsidRPr="00545E5A">
              <w:rPr>
                <w:rFonts w:cs="Arial"/>
                <w:szCs w:val="24"/>
              </w:rPr>
              <w:lastRenderedPageBreak/>
              <w:t>restrukturalizací a útlumem činnosti obchodních společností zabývajících se těžbou uhlí.</w:t>
            </w:r>
          </w:p>
        </w:tc>
        <w:tc>
          <w:tcPr>
            <w:tcW w:w="1510" w:type="dxa"/>
            <w:vAlign w:val="center"/>
          </w:tcPr>
          <w:p w:rsidR="008C38E7" w:rsidRPr="00545E5A" w:rsidRDefault="008C38E7" w:rsidP="00545E5A">
            <w:pPr>
              <w:jc w:val="left"/>
              <w:rPr>
                <w:rFonts w:cs="Arial"/>
                <w:b/>
                <w:szCs w:val="24"/>
              </w:rPr>
            </w:pPr>
            <w:r w:rsidRPr="00545E5A">
              <w:rPr>
                <w:rFonts w:cs="Arial"/>
                <w:b/>
                <w:szCs w:val="24"/>
              </w:rPr>
              <w:lastRenderedPageBreak/>
              <w:t>MPO</w:t>
            </w:r>
          </w:p>
        </w:tc>
      </w:tr>
      <w:tr w:rsidR="009C2D4F" w:rsidRPr="00545E5A" w:rsidTr="00244020">
        <w:trPr>
          <w:trHeight w:val="253"/>
        </w:trPr>
        <w:tc>
          <w:tcPr>
            <w:tcW w:w="1303" w:type="dxa"/>
            <w:gridSpan w:val="2"/>
            <w:tcBorders>
              <w:bottom w:val="single" w:sz="4" w:space="0" w:color="auto"/>
            </w:tcBorders>
            <w:vAlign w:val="center"/>
          </w:tcPr>
          <w:p w:rsidR="009C2D4F" w:rsidRPr="00545E5A" w:rsidRDefault="009C2D4F" w:rsidP="00545E5A">
            <w:pPr>
              <w:jc w:val="left"/>
              <w:rPr>
                <w:rFonts w:cs="Arial"/>
                <w:b/>
                <w:szCs w:val="24"/>
              </w:rPr>
            </w:pPr>
            <w:r w:rsidRPr="00545E5A">
              <w:rPr>
                <w:rFonts w:cs="Arial"/>
                <w:b/>
                <w:szCs w:val="24"/>
              </w:rPr>
              <w:lastRenderedPageBreak/>
              <w:t>J2</w:t>
            </w:r>
          </w:p>
        </w:tc>
        <w:tc>
          <w:tcPr>
            <w:tcW w:w="6475" w:type="dxa"/>
            <w:tcBorders>
              <w:bottom w:val="single" w:sz="4" w:space="0" w:color="auto"/>
            </w:tcBorders>
            <w:vAlign w:val="center"/>
          </w:tcPr>
          <w:p w:rsidR="009C2D4F" w:rsidRPr="00545E5A" w:rsidRDefault="009C2D4F" w:rsidP="00E9643C">
            <w:pPr>
              <w:rPr>
                <w:rFonts w:cs="Arial"/>
                <w:b/>
                <w:szCs w:val="24"/>
              </w:rPr>
            </w:pPr>
            <w:r w:rsidRPr="00545E5A">
              <w:rPr>
                <w:rFonts w:cs="Arial"/>
                <w:b/>
                <w:szCs w:val="24"/>
              </w:rPr>
              <w:t>Strategie hospodářské restrukturalizace ULK, MSK, KVK</w:t>
            </w:r>
          </w:p>
          <w:p w:rsidR="00657F6D" w:rsidRPr="00545E5A" w:rsidRDefault="00657F6D" w:rsidP="00E9643C">
            <w:pPr>
              <w:rPr>
                <w:rFonts w:cs="Arial"/>
                <w:szCs w:val="24"/>
              </w:rPr>
            </w:pPr>
            <w:r w:rsidRPr="00545E5A">
              <w:rPr>
                <w:rFonts w:cs="Arial"/>
                <w:szCs w:val="24"/>
              </w:rPr>
              <w:t>V souladu s usnesením vlády č. 826/2015 bude vypracována strategie restrukturalizace dotčených krajů</w:t>
            </w:r>
            <w:r w:rsidR="008F09AA">
              <w:rPr>
                <w:rFonts w:cs="Arial"/>
                <w:szCs w:val="24"/>
              </w:rPr>
              <w:t>.</w:t>
            </w:r>
          </w:p>
        </w:tc>
        <w:tc>
          <w:tcPr>
            <w:tcW w:w="1510" w:type="dxa"/>
            <w:tcBorders>
              <w:bottom w:val="single" w:sz="4" w:space="0" w:color="auto"/>
            </w:tcBorders>
            <w:vAlign w:val="center"/>
          </w:tcPr>
          <w:p w:rsidR="009C2D4F" w:rsidRPr="00545E5A" w:rsidRDefault="009C2D4F" w:rsidP="00545E5A">
            <w:pPr>
              <w:jc w:val="left"/>
              <w:rPr>
                <w:rFonts w:cs="Arial"/>
                <w:b/>
                <w:szCs w:val="24"/>
              </w:rPr>
            </w:pPr>
            <w:r w:rsidRPr="00545E5A">
              <w:rPr>
                <w:rFonts w:cs="Arial"/>
                <w:b/>
                <w:szCs w:val="24"/>
              </w:rPr>
              <w:t>MPO, MMR</w:t>
            </w:r>
          </w:p>
        </w:tc>
      </w:tr>
      <w:tr w:rsidR="009C2D4F" w:rsidRPr="00545E5A" w:rsidTr="00244020">
        <w:trPr>
          <w:trHeight w:val="253"/>
        </w:trPr>
        <w:tc>
          <w:tcPr>
            <w:tcW w:w="1303" w:type="dxa"/>
            <w:gridSpan w:val="2"/>
            <w:vAlign w:val="center"/>
          </w:tcPr>
          <w:p w:rsidR="009C2D4F" w:rsidRPr="00545E5A" w:rsidRDefault="00657F6D" w:rsidP="00545E5A">
            <w:pPr>
              <w:jc w:val="left"/>
              <w:rPr>
                <w:rFonts w:cs="Arial"/>
                <w:b/>
                <w:szCs w:val="24"/>
              </w:rPr>
            </w:pPr>
            <w:r w:rsidRPr="00545E5A">
              <w:rPr>
                <w:rFonts w:cs="Arial"/>
                <w:b/>
                <w:szCs w:val="24"/>
              </w:rPr>
              <w:t>J3</w:t>
            </w:r>
          </w:p>
        </w:tc>
        <w:tc>
          <w:tcPr>
            <w:tcW w:w="6475" w:type="dxa"/>
            <w:vAlign w:val="center"/>
          </w:tcPr>
          <w:p w:rsidR="009C2D4F" w:rsidRPr="00545E5A" w:rsidRDefault="00657F6D" w:rsidP="00E9643C">
            <w:pPr>
              <w:rPr>
                <w:rFonts w:cs="Arial"/>
                <w:b/>
                <w:szCs w:val="24"/>
              </w:rPr>
            </w:pPr>
            <w:r w:rsidRPr="00545E5A">
              <w:rPr>
                <w:rFonts w:cs="Arial"/>
                <w:b/>
                <w:szCs w:val="24"/>
              </w:rPr>
              <w:t>Program podpory investic do nových výrobních zařízení a zaměstnanosti ve strukturálně postižených regionech</w:t>
            </w:r>
          </w:p>
          <w:p w:rsidR="00657F6D" w:rsidRPr="00545E5A" w:rsidRDefault="00657F6D" w:rsidP="00E9643C">
            <w:pPr>
              <w:rPr>
                <w:rFonts w:cs="Arial"/>
                <w:szCs w:val="24"/>
              </w:rPr>
            </w:pPr>
            <w:r w:rsidRPr="00545E5A">
              <w:rPr>
                <w:rFonts w:cs="Arial"/>
                <w:szCs w:val="24"/>
              </w:rPr>
              <w:t>Bude připraven program na podporu investic k rozvoji malých a středních podnikatelů s cílem podpořit zaměstnanost ve strukturálně postižených regionech</w:t>
            </w:r>
            <w:r w:rsidR="008F09AA">
              <w:rPr>
                <w:rFonts w:cs="Arial"/>
                <w:szCs w:val="24"/>
              </w:rPr>
              <w:t>.</w:t>
            </w:r>
          </w:p>
        </w:tc>
        <w:tc>
          <w:tcPr>
            <w:tcW w:w="1510" w:type="dxa"/>
            <w:vAlign w:val="center"/>
          </w:tcPr>
          <w:p w:rsidR="009C2D4F" w:rsidRPr="00545E5A" w:rsidRDefault="00657F6D" w:rsidP="00545E5A">
            <w:pPr>
              <w:jc w:val="left"/>
              <w:rPr>
                <w:rFonts w:cs="Arial"/>
                <w:b/>
                <w:szCs w:val="24"/>
              </w:rPr>
            </w:pPr>
            <w:r w:rsidRPr="00545E5A">
              <w:rPr>
                <w:rFonts w:cs="Arial"/>
                <w:b/>
                <w:szCs w:val="24"/>
              </w:rPr>
              <w:t>MPO</w:t>
            </w:r>
          </w:p>
        </w:tc>
      </w:tr>
      <w:tr w:rsidR="008F09AA" w:rsidRPr="00545E5A" w:rsidTr="00244020">
        <w:trPr>
          <w:trHeight w:val="253"/>
        </w:trPr>
        <w:tc>
          <w:tcPr>
            <w:tcW w:w="1303" w:type="dxa"/>
            <w:gridSpan w:val="2"/>
            <w:vAlign w:val="center"/>
          </w:tcPr>
          <w:p w:rsidR="008F09AA" w:rsidRPr="00545E5A" w:rsidRDefault="008F09AA" w:rsidP="00545E5A">
            <w:pPr>
              <w:jc w:val="left"/>
              <w:rPr>
                <w:rFonts w:cs="Arial"/>
                <w:b/>
                <w:szCs w:val="24"/>
              </w:rPr>
            </w:pPr>
            <w:r>
              <w:rPr>
                <w:rFonts w:cs="Arial"/>
                <w:b/>
                <w:szCs w:val="24"/>
              </w:rPr>
              <w:t>J4</w:t>
            </w:r>
          </w:p>
        </w:tc>
        <w:tc>
          <w:tcPr>
            <w:tcW w:w="6475" w:type="dxa"/>
            <w:vAlign w:val="center"/>
          </w:tcPr>
          <w:p w:rsidR="008F09AA" w:rsidRDefault="008F09AA" w:rsidP="00CB3071">
            <w:pPr>
              <w:rPr>
                <w:rFonts w:cs="Arial"/>
                <w:szCs w:val="24"/>
              </w:rPr>
            </w:pPr>
            <w:r w:rsidRPr="008F09AA">
              <w:rPr>
                <w:rFonts w:cs="Arial"/>
                <w:b/>
                <w:szCs w:val="24"/>
              </w:rPr>
              <w:t>Využít revitalizační projekty</w:t>
            </w:r>
            <w:r w:rsidRPr="008F09AA">
              <w:rPr>
                <w:rFonts w:cs="Arial"/>
                <w:szCs w:val="24"/>
              </w:rPr>
              <w:t xml:space="preserve"> </w:t>
            </w:r>
          </w:p>
          <w:p w:rsidR="008F09AA" w:rsidRPr="00545E5A" w:rsidRDefault="008F09AA" w:rsidP="00E9643C">
            <w:pPr>
              <w:rPr>
                <w:rFonts w:cs="Arial"/>
                <w:b/>
                <w:szCs w:val="24"/>
              </w:rPr>
            </w:pPr>
            <w:r>
              <w:rPr>
                <w:rFonts w:cs="Arial"/>
                <w:szCs w:val="24"/>
              </w:rPr>
              <w:t xml:space="preserve">Zvážit možnost využít propuštěné zaměstnance při prováděných revitalizačních projektů </w:t>
            </w:r>
            <w:r w:rsidRPr="008F09AA">
              <w:rPr>
                <w:rFonts w:cs="Arial"/>
                <w:szCs w:val="24"/>
              </w:rPr>
              <w:t>v regionu státními podniky (především s. p. Palivový kombinát Ústí).</w:t>
            </w:r>
          </w:p>
        </w:tc>
        <w:tc>
          <w:tcPr>
            <w:tcW w:w="1510" w:type="dxa"/>
            <w:vAlign w:val="center"/>
          </w:tcPr>
          <w:p w:rsidR="008F09AA" w:rsidRPr="00545E5A" w:rsidRDefault="008F09AA" w:rsidP="00545E5A">
            <w:pPr>
              <w:jc w:val="left"/>
              <w:rPr>
                <w:rFonts w:cs="Arial"/>
                <w:b/>
                <w:szCs w:val="24"/>
              </w:rPr>
            </w:pPr>
            <w:r>
              <w:rPr>
                <w:rFonts w:cs="Arial"/>
                <w:b/>
                <w:szCs w:val="24"/>
              </w:rPr>
              <w:t>MPO</w:t>
            </w:r>
          </w:p>
        </w:tc>
      </w:tr>
      <w:tr w:rsidR="008F09AA" w:rsidRPr="00545E5A" w:rsidTr="00244020">
        <w:trPr>
          <w:trHeight w:val="253"/>
        </w:trPr>
        <w:tc>
          <w:tcPr>
            <w:tcW w:w="1303" w:type="dxa"/>
            <w:gridSpan w:val="2"/>
            <w:tcBorders>
              <w:bottom w:val="single" w:sz="4" w:space="0" w:color="auto"/>
            </w:tcBorders>
            <w:vAlign w:val="center"/>
          </w:tcPr>
          <w:p w:rsidR="008F09AA" w:rsidRPr="00545E5A" w:rsidRDefault="008F09AA" w:rsidP="00545E5A">
            <w:pPr>
              <w:jc w:val="left"/>
              <w:rPr>
                <w:rFonts w:cs="Arial"/>
                <w:b/>
                <w:szCs w:val="24"/>
              </w:rPr>
            </w:pPr>
            <w:r>
              <w:rPr>
                <w:rFonts w:cs="Arial"/>
                <w:b/>
                <w:szCs w:val="24"/>
              </w:rPr>
              <w:t>J5</w:t>
            </w:r>
          </w:p>
        </w:tc>
        <w:tc>
          <w:tcPr>
            <w:tcW w:w="6475" w:type="dxa"/>
            <w:tcBorders>
              <w:bottom w:val="single" w:sz="4" w:space="0" w:color="auto"/>
            </w:tcBorders>
            <w:vAlign w:val="center"/>
          </w:tcPr>
          <w:p w:rsidR="008F09AA" w:rsidRDefault="008F09AA" w:rsidP="008F09AA">
            <w:pPr>
              <w:rPr>
                <w:rFonts w:cs="Arial"/>
                <w:szCs w:val="24"/>
              </w:rPr>
            </w:pPr>
            <w:r>
              <w:rPr>
                <w:rFonts w:cs="Arial"/>
                <w:b/>
                <w:szCs w:val="24"/>
              </w:rPr>
              <w:t>Transferový program</w:t>
            </w:r>
          </w:p>
          <w:p w:rsidR="008F09AA" w:rsidRPr="008F09AA" w:rsidRDefault="008F09AA" w:rsidP="008F09AA">
            <w:pPr>
              <w:rPr>
                <w:rFonts w:cs="Arial"/>
                <w:szCs w:val="24"/>
              </w:rPr>
            </w:pPr>
            <w:r>
              <w:rPr>
                <w:rFonts w:cs="Arial"/>
                <w:szCs w:val="24"/>
              </w:rPr>
              <w:t>Analyzovat možnost vytvoření transferové společnosti, jejímž cílem je zabezpečit přechod ohrožených zaměstnanců do jiných zaměstnání (využít zahraničních zkušeností – Německo)</w:t>
            </w:r>
          </w:p>
        </w:tc>
        <w:tc>
          <w:tcPr>
            <w:tcW w:w="1510" w:type="dxa"/>
            <w:tcBorders>
              <w:bottom w:val="single" w:sz="4" w:space="0" w:color="auto"/>
            </w:tcBorders>
            <w:vAlign w:val="center"/>
          </w:tcPr>
          <w:p w:rsidR="008F09AA" w:rsidRPr="00545E5A" w:rsidRDefault="008F09AA" w:rsidP="00545E5A">
            <w:pPr>
              <w:jc w:val="left"/>
              <w:rPr>
                <w:rFonts w:cs="Arial"/>
                <w:b/>
                <w:szCs w:val="24"/>
              </w:rPr>
            </w:pPr>
            <w:r>
              <w:rPr>
                <w:rFonts w:cs="Arial"/>
                <w:b/>
                <w:szCs w:val="24"/>
              </w:rPr>
              <w:t>MPSV/MPO</w:t>
            </w:r>
          </w:p>
        </w:tc>
      </w:tr>
    </w:tbl>
    <w:p w:rsidR="00AF2CD1" w:rsidRDefault="00AF2CD1" w:rsidP="00545E5A">
      <w:pPr>
        <w:spacing w:line="240" w:lineRule="auto"/>
        <w:rPr>
          <w:rFonts w:cs="Arial"/>
          <w:b/>
          <w:szCs w:val="24"/>
        </w:rPr>
      </w:pPr>
    </w:p>
    <w:p w:rsidR="00E9643C" w:rsidRDefault="00E9643C" w:rsidP="00545E5A">
      <w:pPr>
        <w:spacing w:line="240" w:lineRule="auto"/>
        <w:rPr>
          <w:rFonts w:cs="Arial"/>
          <w:b/>
          <w:szCs w:val="24"/>
        </w:rPr>
      </w:pPr>
    </w:p>
    <w:p w:rsidR="00E9643C" w:rsidRPr="00545E5A" w:rsidRDefault="00E9643C" w:rsidP="00545E5A">
      <w:pPr>
        <w:spacing w:line="240" w:lineRule="auto"/>
        <w:rPr>
          <w:rFonts w:cs="Arial"/>
          <w:b/>
          <w:szCs w:val="24"/>
        </w:rPr>
      </w:pPr>
    </w:p>
    <w:p w:rsidR="00C219A3" w:rsidRPr="00545E5A" w:rsidRDefault="00657F6D" w:rsidP="00545E5A">
      <w:pPr>
        <w:pStyle w:val="Odstavecseseznamem"/>
        <w:numPr>
          <w:ilvl w:val="0"/>
          <w:numId w:val="2"/>
        </w:numPr>
        <w:spacing w:line="240" w:lineRule="auto"/>
        <w:jc w:val="center"/>
        <w:rPr>
          <w:rFonts w:cs="Arial"/>
          <w:b/>
          <w:szCs w:val="24"/>
        </w:rPr>
      </w:pPr>
      <w:r w:rsidRPr="00545E5A">
        <w:rPr>
          <w:rFonts w:cs="Arial"/>
          <w:b/>
          <w:szCs w:val="24"/>
        </w:rPr>
        <w:t>SPECIFICKÁ OPATŘENÍ V PŮSOBNOSTI MPSV</w:t>
      </w:r>
    </w:p>
    <w:p w:rsidR="00DB30E3" w:rsidRPr="00545E5A" w:rsidRDefault="00DB30E3" w:rsidP="00545E5A">
      <w:pPr>
        <w:spacing w:line="240" w:lineRule="auto"/>
        <w:rPr>
          <w:rFonts w:cs="Arial"/>
          <w:b/>
          <w:szCs w:val="24"/>
        </w:rPr>
      </w:pPr>
    </w:p>
    <w:p w:rsidR="00DB30E3" w:rsidRPr="00545E5A" w:rsidRDefault="00DB30E3" w:rsidP="00545E5A">
      <w:pPr>
        <w:pStyle w:val="Odstavecseseznamem"/>
        <w:numPr>
          <w:ilvl w:val="0"/>
          <w:numId w:val="6"/>
        </w:numPr>
        <w:spacing w:after="240" w:line="240" w:lineRule="auto"/>
        <w:rPr>
          <w:rFonts w:eastAsia="Calibri" w:cs="Arial"/>
          <w:b/>
          <w:szCs w:val="24"/>
          <w:u w:val="single"/>
        </w:rPr>
      </w:pPr>
      <w:r w:rsidRPr="00545E5A">
        <w:rPr>
          <w:rFonts w:eastAsia="Calibri" w:cs="Arial"/>
          <w:b/>
          <w:szCs w:val="24"/>
          <w:u w:val="single"/>
        </w:rPr>
        <w:t>„</w:t>
      </w:r>
      <w:r w:rsidR="00E5035A">
        <w:rPr>
          <w:rFonts w:eastAsia="Calibri" w:cs="Arial"/>
          <w:b/>
          <w:szCs w:val="24"/>
          <w:u w:val="single"/>
        </w:rPr>
        <w:t>Snížení důchodového věku některým horníkům</w:t>
      </w:r>
      <w:r w:rsidRPr="00545E5A">
        <w:rPr>
          <w:rFonts w:eastAsia="Calibri" w:cs="Arial"/>
          <w:b/>
          <w:szCs w:val="24"/>
          <w:u w:val="single"/>
        </w:rPr>
        <w:t>“</w:t>
      </w:r>
      <w:r w:rsidR="00096B45" w:rsidRPr="00545E5A">
        <w:rPr>
          <w:rFonts w:eastAsia="Calibri" w:cs="Arial"/>
          <w:b/>
          <w:szCs w:val="24"/>
          <w:u w:val="single"/>
        </w:rPr>
        <w:t xml:space="preserve"> (O1)</w:t>
      </w:r>
    </w:p>
    <w:p w:rsidR="00DB30E3" w:rsidRPr="00545E5A" w:rsidRDefault="00DB30E3" w:rsidP="00545E5A">
      <w:pPr>
        <w:spacing w:after="240" w:line="240" w:lineRule="auto"/>
        <w:contextualSpacing/>
        <w:rPr>
          <w:rFonts w:eastAsia="Calibri" w:cs="Arial"/>
          <w:i/>
          <w:szCs w:val="24"/>
        </w:rPr>
      </w:pPr>
    </w:p>
    <w:p w:rsidR="00DB30E3" w:rsidRPr="00545E5A" w:rsidRDefault="00DB30E3" w:rsidP="00545E5A">
      <w:pPr>
        <w:spacing w:after="240" w:line="240" w:lineRule="auto"/>
        <w:ind w:left="284" w:hanging="284"/>
        <w:contextualSpacing/>
        <w:rPr>
          <w:rFonts w:eastAsia="Calibri" w:cs="Arial"/>
          <w:i/>
          <w:szCs w:val="24"/>
        </w:rPr>
      </w:pPr>
      <w:r w:rsidRPr="00545E5A">
        <w:rPr>
          <w:rFonts w:eastAsia="Calibri" w:cs="Arial"/>
          <w:i/>
          <w:szCs w:val="24"/>
        </w:rPr>
        <w:t>1) Nařízení vlády č. 363/2009 Sb., o stanovení důchodového věku a přepočtu starobních důchodů některých horníků, kteří začali vykonávat své zaměstnání před rokem 1993</w:t>
      </w:r>
    </w:p>
    <w:p w:rsidR="00DB30E3" w:rsidRPr="00545E5A" w:rsidRDefault="00DB30E3" w:rsidP="00545E5A">
      <w:pPr>
        <w:spacing w:after="240" w:line="240" w:lineRule="auto"/>
        <w:contextualSpacing/>
        <w:rPr>
          <w:rFonts w:eastAsia="Calibri" w:cs="Arial"/>
          <w:b/>
          <w:szCs w:val="24"/>
        </w:rPr>
      </w:pPr>
    </w:p>
    <w:p w:rsidR="00DB30E3" w:rsidRPr="00545E5A" w:rsidRDefault="00DB30E3" w:rsidP="00902D0C">
      <w:pPr>
        <w:spacing w:after="240" w:line="240" w:lineRule="auto"/>
        <w:rPr>
          <w:rFonts w:eastAsia="Calibri" w:cs="Arial"/>
          <w:szCs w:val="24"/>
        </w:rPr>
      </w:pPr>
      <w:r w:rsidRPr="00545E5A">
        <w:rPr>
          <w:rFonts w:eastAsia="Calibri" w:cs="Arial"/>
          <w:szCs w:val="24"/>
        </w:rPr>
        <w:t xml:space="preserve">Toto nařízení vlády účinné od 1. 7. 2010 upravuje podmínky, za kterých mohou </w:t>
      </w:r>
      <w:r w:rsidRPr="00545E5A">
        <w:rPr>
          <w:rFonts w:eastAsia="Calibri" w:cs="Arial"/>
          <w:b/>
          <w:szCs w:val="24"/>
        </w:rPr>
        <w:t>horníci získat nárok na starobní důchod o 5 let dříve než podle obecných pravidel</w:t>
      </w:r>
      <w:r w:rsidRPr="00545E5A">
        <w:rPr>
          <w:rFonts w:eastAsia="Calibri" w:cs="Arial"/>
          <w:szCs w:val="24"/>
        </w:rPr>
        <w:t xml:space="preserve"> a na jeho výpočet zvláštním způsob</w:t>
      </w:r>
      <w:r w:rsidR="00E9643C">
        <w:rPr>
          <w:rFonts w:eastAsia="Calibri" w:cs="Arial"/>
          <w:szCs w:val="24"/>
        </w:rPr>
        <w:t xml:space="preserve">em. </w:t>
      </w:r>
    </w:p>
    <w:p w:rsidR="00DB30E3" w:rsidRPr="00545E5A" w:rsidRDefault="00DB30E3" w:rsidP="00545E5A">
      <w:pPr>
        <w:spacing w:after="240" w:line="240" w:lineRule="auto"/>
        <w:ind w:left="284" w:hanging="284"/>
        <w:contextualSpacing/>
        <w:rPr>
          <w:rFonts w:eastAsia="Calibri" w:cs="Arial"/>
          <w:i/>
          <w:szCs w:val="24"/>
        </w:rPr>
      </w:pPr>
      <w:r w:rsidRPr="00545E5A">
        <w:rPr>
          <w:rFonts w:eastAsia="Calibri" w:cs="Arial"/>
          <w:i/>
          <w:szCs w:val="24"/>
        </w:rPr>
        <w:t>2) Nařízení vlády č. 69/2015 Sb., kterým se mění na</w:t>
      </w:r>
      <w:r w:rsidR="00E9643C">
        <w:rPr>
          <w:rFonts w:eastAsia="Calibri" w:cs="Arial"/>
          <w:i/>
          <w:szCs w:val="24"/>
        </w:rPr>
        <w:t>řízení vlády č. 363/2009 Sb., o </w:t>
      </w:r>
      <w:r w:rsidRPr="00545E5A">
        <w:rPr>
          <w:rFonts w:eastAsia="Calibri" w:cs="Arial"/>
          <w:i/>
          <w:szCs w:val="24"/>
        </w:rPr>
        <w:t>stanovení důchodového věku a přepočtu starobních důchodů některých horníků, kteří začali vykonávat své zaměstnání před rokem 1993</w:t>
      </w:r>
    </w:p>
    <w:p w:rsidR="00DB30E3" w:rsidRPr="00545E5A" w:rsidRDefault="00DB30E3" w:rsidP="00545E5A">
      <w:pPr>
        <w:spacing w:after="240" w:line="240" w:lineRule="auto"/>
        <w:contextualSpacing/>
        <w:rPr>
          <w:rFonts w:eastAsia="Calibri" w:cs="Arial"/>
          <w:i/>
          <w:szCs w:val="24"/>
        </w:rPr>
      </w:pPr>
    </w:p>
    <w:p w:rsidR="00DB30E3" w:rsidRPr="00545E5A" w:rsidRDefault="00DB30E3" w:rsidP="00545E5A">
      <w:pPr>
        <w:spacing w:after="240" w:line="240" w:lineRule="auto"/>
        <w:rPr>
          <w:rFonts w:eastAsia="Calibri" w:cs="Arial"/>
          <w:szCs w:val="24"/>
        </w:rPr>
      </w:pPr>
      <w:r w:rsidRPr="00545E5A">
        <w:rPr>
          <w:rFonts w:eastAsia="Calibri" w:cs="Arial"/>
          <w:szCs w:val="24"/>
        </w:rPr>
        <w:t xml:space="preserve">Novelizované nařízení </w:t>
      </w:r>
      <w:r w:rsidRPr="00545E5A">
        <w:rPr>
          <w:rFonts w:eastAsia="Calibri" w:cs="Arial"/>
          <w:b/>
          <w:szCs w:val="24"/>
        </w:rPr>
        <w:t>nabylo účinnosti od 1. června 2015</w:t>
      </w:r>
      <w:r w:rsidRPr="00545E5A">
        <w:rPr>
          <w:rFonts w:eastAsia="Calibri" w:cs="Arial"/>
          <w:szCs w:val="24"/>
        </w:rPr>
        <w:t>. Novela odstranila podmínku nutnosti splnění zvláštních podmínek do konce roku 2008. Druhý limit, tj. podmínku vstupu před 1. lednem 1993, odstranit nemohla, protože tak široké zmocnění pro vládu zákon o důchodovém pojištění</w:t>
      </w:r>
      <w:r w:rsidR="00C12DC1">
        <w:rPr>
          <w:rFonts w:eastAsia="Calibri" w:cs="Arial"/>
          <w:szCs w:val="24"/>
        </w:rPr>
        <w:t xml:space="preserve"> </w:t>
      </w:r>
      <w:r w:rsidRPr="00545E5A">
        <w:rPr>
          <w:rFonts w:eastAsia="Calibri" w:cs="Arial"/>
          <w:szCs w:val="24"/>
        </w:rPr>
        <w:t>neobsahuje. Proto je nutno tuto podmínku odstranit zákonem a </w:t>
      </w:r>
      <w:r w:rsidR="00092207">
        <w:rPr>
          <w:rFonts w:eastAsia="Calibri" w:cs="Arial"/>
          <w:szCs w:val="24"/>
        </w:rPr>
        <w:t xml:space="preserve">proto </w:t>
      </w:r>
      <w:r w:rsidRPr="00545E5A">
        <w:rPr>
          <w:rFonts w:eastAsia="Calibri" w:cs="Arial"/>
          <w:szCs w:val="24"/>
        </w:rPr>
        <w:t>MPSV připravilo návrh novely zákona</w:t>
      </w:r>
      <w:r w:rsidR="00092207">
        <w:rPr>
          <w:rFonts w:eastAsia="Calibri" w:cs="Arial"/>
          <w:szCs w:val="24"/>
        </w:rPr>
        <w:t xml:space="preserve"> č. </w:t>
      </w:r>
      <w:r w:rsidR="00C12DC1">
        <w:rPr>
          <w:rFonts w:eastAsia="Calibri" w:cs="Arial"/>
          <w:szCs w:val="24"/>
        </w:rPr>
        <w:t>155/1995 Sb.,</w:t>
      </w:r>
      <w:r w:rsidRPr="00545E5A">
        <w:rPr>
          <w:rFonts w:eastAsia="Calibri" w:cs="Arial"/>
          <w:szCs w:val="24"/>
        </w:rPr>
        <w:t xml:space="preserve"> o důchodovém pojištění</w:t>
      </w:r>
      <w:r w:rsidR="00C12DC1">
        <w:rPr>
          <w:rFonts w:eastAsia="Calibri" w:cs="Arial"/>
          <w:szCs w:val="24"/>
        </w:rPr>
        <w:t>, ve znění pozdějších předpisů,</w:t>
      </w:r>
      <w:r w:rsidRPr="00545E5A">
        <w:rPr>
          <w:rFonts w:eastAsia="Calibri" w:cs="Arial"/>
          <w:szCs w:val="24"/>
        </w:rPr>
        <w:t xml:space="preserve"> a zákona </w:t>
      </w:r>
      <w:r w:rsidR="00092207">
        <w:rPr>
          <w:rFonts w:eastAsia="Calibri" w:cs="Arial"/>
          <w:szCs w:val="24"/>
        </w:rPr>
        <w:t>č. </w:t>
      </w:r>
      <w:r w:rsidR="00C12DC1">
        <w:rPr>
          <w:rFonts w:eastAsia="Calibri" w:cs="Arial"/>
          <w:szCs w:val="24"/>
        </w:rPr>
        <w:t xml:space="preserve">582/1991 Sb., </w:t>
      </w:r>
      <w:r w:rsidRPr="00545E5A">
        <w:rPr>
          <w:rFonts w:eastAsia="Calibri" w:cs="Arial"/>
          <w:szCs w:val="24"/>
        </w:rPr>
        <w:t xml:space="preserve">o organizaci </w:t>
      </w:r>
      <w:r w:rsidR="00C12DC1">
        <w:rPr>
          <w:rFonts w:eastAsia="Calibri" w:cs="Arial"/>
          <w:szCs w:val="24"/>
        </w:rPr>
        <w:t xml:space="preserve">a </w:t>
      </w:r>
      <w:r w:rsidRPr="00545E5A">
        <w:rPr>
          <w:rFonts w:eastAsia="Calibri" w:cs="Arial"/>
          <w:szCs w:val="24"/>
        </w:rPr>
        <w:t xml:space="preserve">provádění sociálního zabezpečení, </w:t>
      </w:r>
      <w:r w:rsidR="00C12DC1">
        <w:rPr>
          <w:rFonts w:eastAsia="Calibri" w:cs="Arial"/>
          <w:szCs w:val="24"/>
        </w:rPr>
        <w:t xml:space="preserve">ve znění pozdějších předpisů, </w:t>
      </w:r>
      <w:r w:rsidRPr="00545E5A">
        <w:rPr>
          <w:rFonts w:eastAsia="Calibri" w:cs="Arial"/>
          <w:szCs w:val="24"/>
        </w:rPr>
        <w:t xml:space="preserve">který tuto problematiku řeší. </w:t>
      </w:r>
    </w:p>
    <w:p w:rsidR="00DB30E3" w:rsidRPr="00545E5A" w:rsidRDefault="00DB30E3" w:rsidP="00545E5A">
      <w:pPr>
        <w:spacing w:after="240" w:line="240" w:lineRule="auto"/>
        <w:rPr>
          <w:rFonts w:eastAsia="Calibri" w:cs="Arial"/>
          <w:szCs w:val="24"/>
        </w:rPr>
      </w:pPr>
      <w:r w:rsidRPr="00545E5A">
        <w:rPr>
          <w:rFonts w:eastAsia="Calibri" w:cs="Arial"/>
          <w:szCs w:val="24"/>
        </w:rPr>
        <w:t xml:space="preserve">Odhadovaný vývoj počtu osob, kterých se novela dotkne, kopíruje vývoj úhrnných nákladů. </w:t>
      </w:r>
      <w:r w:rsidRPr="00545E5A">
        <w:rPr>
          <w:rFonts w:eastAsia="Calibri" w:cs="Arial"/>
          <w:b/>
          <w:szCs w:val="24"/>
        </w:rPr>
        <w:t>V roce 2015 se měla dotknout přibližně 50 osob a tento počet se bude postupně zvyšovat do roku 2026, kdy by mělo být dosaženo počtu 350 osob</w:t>
      </w:r>
      <w:r w:rsidRPr="00545E5A">
        <w:rPr>
          <w:rFonts w:eastAsia="Calibri" w:cs="Arial"/>
          <w:szCs w:val="24"/>
        </w:rPr>
        <w:t>. Po pětileté stagnaci počtu osob, kterých se toto nařízení dotkne, začne docházet k postupnému poklesu.</w:t>
      </w:r>
    </w:p>
    <w:p w:rsidR="00DB30E3" w:rsidRPr="00545E5A" w:rsidRDefault="00DB30E3" w:rsidP="00545E5A">
      <w:pPr>
        <w:spacing w:after="240" w:line="240" w:lineRule="auto"/>
        <w:ind w:left="284" w:hanging="284"/>
        <w:rPr>
          <w:rFonts w:eastAsia="Calibri" w:cs="Arial"/>
          <w:i/>
          <w:szCs w:val="24"/>
        </w:rPr>
      </w:pPr>
      <w:r w:rsidRPr="00545E5A">
        <w:rPr>
          <w:rFonts w:eastAsia="Calibri" w:cs="Arial"/>
          <w:i/>
          <w:szCs w:val="24"/>
        </w:rPr>
        <w:lastRenderedPageBreak/>
        <w:t xml:space="preserve">3) Návrh zákona, kterým se mění zákon č. 155/1995 Sb., o důchodovém pojištění, ve znění pozdějších předpisů, a zákon č. 582/1991 Sb., o organizaci a provádění sociálního zabezpečení, ve znění pozdějších předpisů </w:t>
      </w:r>
    </w:p>
    <w:p w:rsidR="00DB30E3" w:rsidRPr="00545E5A" w:rsidRDefault="00DB30E3" w:rsidP="00545E5A">
      <w:pPr>
        <w:spacing w:after="240" w:line="240" w:lineRule="auto"/>
        <w:rPr>
          <w:rFonts w:eastAsia="Calibri" w:cs="Arial"/>
          <w:szCs w:val="24"/>
        </w:rPr>
      </w:pPr>
      <w:r w:rsidRPr="00545E5A">
        <w:rPr>
          <w:rFonts w:eastAsia="Calibri" w:cs="Arial"/>
          <w:szCs w:val="24"/>
        </w:rPr>
        <w:t xml:space="preserve">Doposud </w:t>
      </w:r>
      <w:r w:rsidR="007854EE">
        <w:rPr>
          <w:rFonts w:eastAsia="Calibri" w:cs="Arial"/>
          <w:szCs w:val="24"/>
        </w:rPr>
        <w:t>mohli</w:t>
      </w:r>
      <w:r w:rsidRPr="00545E5A">
        <w:rPr>
          <w:rFonts w:eastAsia="Calibri" w:cs="Arial"/>
          <w:szCs w:val="24"/>
        </w:rPr>
        <w:t xml:space="preserve"> získat nárok na snížený důchodový věk pouze horníci, kteří nastoupili do zaměstnání v hlubinných dolech se stálým pracovištěm pod zemí před rokem 1993. </w:t>
      </w:r>
      <w:r w:rsidR="00120C45">
        <w:rPr>
          <w:rFonts w:eastAsia="Calibri" w:cs="Arial"/>
          <w:szCs w:val="24"/>
        </w:rPr>
        <w:t>Výše uvedená</w:t>
      </w:r>
      <w:r w:rsidR="001D402D">
        <w:rPr>
          <w:rFonts w:eastAsia="Calibri" w:cs="Arial"/>
          <w:szCs w:val="24"/>
        </w:rPr>
        <w:t xml:space="preserve"> novela</w:t>
      </w:r>
      <w:r w:rsidRPr="00545E5A">
        <w:rPr>
          <w:rFonts w:eastAsia="Calibri" w:cs="Arial"/>
          <w:szCs w:val="24"/>
        </w:rPr>
        <w:t xml:space="preserve"> má zajistit, že se snížený důchodový věk bude vztahovat nově také na horníky, kteří nastou</w:t>
      </w:r>
      <w:r w:rsidR="00C12DC1">
        <w:rPr>
          <w:rFonts w:eastAsia="Calibri" w:cs="Arial"/>
          <w:szCs w:val="24"/>
        </w:rPr>
        <w:t>pili do zaměstnání i později, a </w:t>
      </w:r>
      <w:r w:rsidRPr="00545E5A">
        <w:rPr>
          <w:rFonts w:eastAsia="Calibri" w:cs="Arial"/>
          <w:szCs w:val="24"/>
        </w:rPr>
        <w:t>to s jediným limitem: datum nástupu musí být před navrhovanou účinnost</w:t>
      </w:r>
      <w:r w:rsidR="00C45897">
        <w:rPr>
          <w:rFonts w:eastAsia="Calibri" w:cs="Arial"/>
          <w:szCs w:val="24"/>
        </w:rPr>
        <w:t>í předložené novely, tj. do 30. </w:t>
      </w:r>
      <w:r w:rsidRPr="00545E5A">
        <w:rPr>
          <w:rFonts w:eastAsia="Calibri" w:cs="Arial"/>
          <w:szCs w:val="24"/>
        </w:rPr>
        <w:t xml:space="preserve">září 2016.  </w:t>
      </w:r>
    </w:p>
    <w:p w:rsidR="00C12DC1" w:rsidRDefault="00120C45" w:rsidP="00C12DC1">
      <w:pPr>
        <w:spacing w:after="240" w:line="240" w:lineRule="auto"/>
        <w:rPr>
          <w:rFonts w:eastAsia="Calibri" w:cs="Arial"/>
          <w:b/>
          <w:szCs w:val="24"/>
        </w:rPr>
      </w:pPr>
      <w:r>
        <w:rPr>
          <w:rFonts w:eastAsia="Calibri" w:cs="Arial"/>
          <w:b/>
          <w:szCs w:val="24"/>
        </w:rPr>
        <w:t>Návrh zákona prošel úspěšně legislativním procesem a dne 23. června 2016 jej podepsal prezident republiky. D</w:t>
      </w:r>
      <w:r w:rsidR="00C12DC1" w:rsidRPr="00DA0D35">
        <w:rPr>
          <w:rFonts w:eastAsia="Calibri" w:cs="Arial"/>
          <w:b/>
          <w:szCs w:val="24"/>
        </w:rPr>
        <w:t>ůchodový věk je snížen o 7 let oproti obecnému důchodovému věku.</w:t>
      </w:r>
    </w:p>
    <w:p w:rsidR="00906C41" w:rsidRPr="009D7BE4" w:rsidRDefault="00906C41" w:rsidP="00C12DC1">
      <w:pPr>
        <w:spacing w:after="240" w:line="240" w:lineRule="auto"/>
        <w:rPr>
          <w:rFonts w:eastAsia="Calibri" w:cs="Arial"/>
          <w:szCs w:val="24"/>
        </w:rPr>
      </w:pPr>
      <w:r w:rsidRPr="009D7BE4">
        <w:rPr>
          <w:rFonts w:eastAsia="Calibri" w:cs="Arial"/>
          <w:szCs w:val="24"/>
        </w:rPr>
        <w:t>Přestože výše uvedené opatření se v souvislosti s útlumem těžby hnědého uhlí v severních Čechách, která je prováděna hlubině pouze minimálně, dotkne v dohledné době pouze minimálního počtu osob</w:t>
      </w:r>
      <w:r w:rsidR="009D7BE4" w:rsidRPr="009D7BE4">
        <w:rPr>
          <w:rFonts w:eastAsia="Calibri" w:cs="Arial"/>
          <w:szCs w:val="24"/>
        </w:rPr>
        <w:t xml:space="preserve"> (cca 10 – 20 osob)</w:t>
      </w:r>
      <w:r w:rsidRPr="009D7BE4">
        <w:rPr>
          <w:rFonts w:eastAsia="Calibri" w:cs="Arial"/>
          <w:szCs w:val="24"/>
        </w:rPr>
        <w:t>, efektivně pomůže nejvíce ohrožené skupině horníků, kteří pro svoji kvalifikaci (v hlubinné těžbě) a věk nebudou schopni nalézt v Ústeckém kraji další pracovní uplatnění.</w:t>
      </w:r>
    </w:p>
    <w:p w:rsidR="00BA252A" w:rsidRPr="00545E5A" w:rsidRDefault="00BA252A" w:rsidP="00545E5A">
      <w:pPr>
        <w:pStyle w:val="Odstavecseseznamem"/>
        <w:numPr>
          <w:ilvl w:val="0"/>
          <w:numId w:val="6"/>
        </w:numPr>
        <w:spacing w:after="240" w:line="240" w:lineRule="auto"/>
        <w:rPr>
          <w:rFonts w:eastAsia="Calibri" w:cs="Arial"/>
          <w:szCs w:val="24"/>
          <w:u w:val="single"/>
        </w:rPr>
      </w:pPr>
      <w:r w:rsidRPr="00545E5A">
        <w:rPr>
          <w:rFonts w:eastAsia="Calibri" w:cs="Arial"/>
          <w:b/>
          <w:szCs w:val="24"/>
          <w:u w:val="single"/>
        </w:rPr>
        <w:t>Analýza nabídky a poptávky v</w:t>
      </w:r>
      <w:r w:rsidR="00947AB7" w:rsidRPr="00545E5A">
        <w:rPr>
          <w:rFonts w:eastAsia="Calibri" w:cs="Arial"/>
          <w:b/>
          <w:szCs w:val="24"/>
          <w:u w:val="single"/>
        </w:rPr>
        <w:t> </w:t>
      </w:r>
      <w:r w:rsidRPr="00545E5A">
        <w:rPr>
          <w:rFonts w:eastAsia="Calibri" w:cs="Arial"/>
          <w:b/>
          <w:szCs w:val="24"/>
          <w:u w:val="single"/>
        </w:rPr>
        <w:t>ULK</w:t>
      </w:r>
      <w:r w:rsidR="00947AB7" w:rsidRPr="00545E5A">
        <w:rPr>
          <w:rFonts w:eastAsia="Calibri" w:cs="Arial"/>
          <w:b/>
          <w:szCs w:val="24"/>
          <w:u w:val="single"/>
        </w:rPr>
        <w:t xml:space="preserve"> a aktivní </w:t>
      </w:r>
      <w:proofErr w:type="spellStart"/>
      <w:r w:rsidR="00947AB7" w:rsidRPr="00545E5A">
        <w:rPr>
          <w:rFonts w:eastAsia="Calibri" w:cs="Arial"/>
          <w:b/>
          <w:szCs w:val="24"/>
          <w:u w:val="single"/>
        </w:rPr>
        <w:t>matching</w:t>
      </w:r>
      <w:proofErr w:type="spellEnd"/>
      <w:r w:rsidR="00096B45" w:rsidRPr="00545E5A">
        <w:rPr>
          <w:rFonts w:eastAsia="Calibri" w:cs="Arial"/>
          <w:b/>
          <w:szCs w:val="24"/>
          <w:u w:val="single"/>
        </w:rPr>
        <w:t xml:space="preserve"> (S1.1)</w:t>
      </w:r>
    </w:p>
    <w:tbl>
      <w:tblPr>
        <w:tblW w:w="9371" w:type="dxa"/>
        <w:tblInd w:w="55" w:type="dxa"/>
        <w:tblCellMar>
          <w:left w:w="70" w:type="dxa"/>
          <w:right w:w="70" w:type="dxa"/>
        </w:tblCellMar>
        <w:tblLook w:val="04A0"/>
      </w:tblPr>
      <w:tblGrid>
        <w:gridCol w:w="1181"/>
        <w:gridCol w:w="7419"/>
        <w:gridCol w:w="992"/>
      </w:tblGrid>
      <w:tr w:rsidR="00C43F2E" w:rsidRPr="00D4612E" w:rsidTr="004D2A8D">
        <w:trPr>
          <w:trHeight w:val="113"/>
        </w:trPr>
        <w:tc>
          <w:tcPr>
            <w:tcW w:w="8379" w:type="dxa"/>
            <w:gridSpan w:val="2"/>
            <w:tcBorders>
              <w:top w:val="nil"/>
              <w:left w:val="nil"/>
              <w:bottom w:val="nil"/>
              <w:right w:val="nil"/>
            </w:tcBorders>
            <w:shd w:val="clear" w:color="auto" w:fill="auto"/>
            <w:noWrap/>
            <w:vAlign w:val="bottom"/>
            <w:hideMark/>
          </w:tcPr>
          <w:p w:rsidR="00C43F2E" w:rsidRPr="00D4612E" w:rsidRDefault="00C43F2E" w:rsidP="00545E5A">
            <w:pPr>
              <w:pStyle w:val="Odstavecseseznamem"/>
              <w:spacing w:line="240" w:lineRule="auto"/>
              <w:jc w:val="left"/>
              <w:rPr>
                <w:rFonts w:eastAsia="Times New Roman" w:cs="Arial"/>
                <w:b/>
                <w:bCs/>
                <w:color w:val="000000"/>
                <w:szCs w:val="20"/>
                <w:lang w:eastAsia="cs-CZ"/>
              </w:rPr>
            </w:pPr>
          </w:p>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Volná pracovní místa</w:t>
            </w:r>
          </w:p>
        </w:tc>
        <w:tc>
          <w:tcPr>
            <w:tcW w:w="992" w:type="dxa"/>
            <w:tcBorders>
              <w:top w:val="nil"/>
              <w:left w:val="nil"/>
              <w:bottom w:val="nil"/>
              <w:right w:val="nil"/>
            </w:tcBorders>
            <w:shd w:val="clear" w:color="auto" w:fill="auto"/>
            <w:noWrap/>
            <w:vAlign w:val="bottom"/>
            <w:hideMark/>
          </w:tcPr>
          <w:p w:rsidR="00C43F2E" w:rsidRPr="00D4612E" w:rsidRDefault="00C43F2E" w:rsidP="00545E5A">
            <w:pPr>
              <w:spacing w:line="240" w:lineRule="auto"/>
              <w:jc w:val="left"/>
              <w:rPr>
                <w:rFonts w:eastAsia="Times New Roman" w:cs="Arial"/>
                <w:b/>
                <w:bCs/>
                <w:color w:val="000000"/>
                <w:szCs w:val="20"/>
                <w:lang w:eastAsia="cs-CZ"/>
              </w:rPr>
            </w:pPr>
          </w:p>
        </w:tc>
      </w:tr>
      <w:tr w:rsidR="00C43F2E" w:rsidRPr="00D4612E" w:rsidTr="004D2A8D">
        <w:trPr>
          <w:trHeight w:val="113"/>
        </w:trPr>
        <w:tc>
          <w:tcPr>
            <w:tcW w:w="960" w:type="dxa"/>
            <w:tcBorders>
              <w:top w:val="single" w:sz="4" w:space="0" w:color="auto"/>
              <w:left w:val="single" w:sz="4" w:space="0" w:color="auto"/>
              <w:bottom w:val="single" w:sz="4" w:space="0" w:color="auto"/>
              <w:right w:val="nil"/>
            </w:tcBorders>
            <w:shd w:val="clear" w:color="auto" w:fill="auto"/>
            <w:noWrap/>
            <w:vAlign w:val="center"/>
            <w:hideMark/>
          </w:tcPr>
          <w:p w:rsidR="00C43F2E" w:rsidRPr="00D4612E" w:rsidRDefault="00C43F2E" w:rsidP="00545E5A">
            <w:pPr>
              <w:spacing w:line="240" w:lineRule="auto"/>
              <w:jc w:val="center"/>
              <w:rPr>
                <w:rFonts w:eastAsia="Times New Roman" w:cs="Arial"/>
                <w:color w:val="000000"/>
                <w:szCs w:val="20"/>
                <w:lang w:eastAsia="cs-CZ"/>
              </w:rPr>
            </w:pPr>
            <w:r w:rsidRPr="00D4612E">
              <w:rPr>
                <w:rFonts w:eastAsia="Times New Roman" w:cs="Arial"/>
                <w:color w:val="000000"/>
                <w:szCs w:val="20"/>
                <w:lang w:eastAsia="cs-CZ"/>
              </w:rPr>
              <w:t>CZ_ISCO</w:t>
            </w:r>
          </w:p>
        </w:tc>
        <w:tc>
          <w:tcPr>
            <w:tcW w:w="741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43F2E" w:rsidRPr="00D4612E" w:rsidRDefault="00C43F2E" w:rsidP="00545E5A">
            <w:pPr>
              <w:spacing w:line="240" w:lineRule="auto"/>
              <w:jc w:val="center"/>
              <w:rPr>
                <w:rFonts w:eastAsia="Times New Roman" w:cs="Arial"/>
                <w:color w:val="000000"/>
                <w:szCs w:val="20"/>
                <w:lang w:eastAsia="cs-CZ"/>
              </w:rPr>
            </w:pPr>
            <w:r w:rsidRPr="00D4612E">
              <w:rPr>
                <w:rFonts w:eastAsia="Times New Roman" w:cs="Arial"/>
                <w:color w:val="000000"/>
                <w:szCs w:val="20"/>
                <w:lang w:eastAsia="cs-CZ"/>
              </w:rPr>
              <w:t>CZ_ISCO_POPIS</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center"/>
              <w:rPr>
                <w:rFonts w:eastAsia="Times New Roman" w:cs="Arial"/>
                <w:color w:val="000000"/>
                <w:szCs w:val="20"/>
                <w:lang w:eastAsia="cs-CZ"/>
              </w:rPr>
            </w:pPr>
            <w:r w:rsidRPr="00D4612E">
              <w:rPr>
                <w:rFonts w:eastAsia="Times New Roman" w:cs="Arial"/>
                <w:color w:val="000000"/>
                <w:szCs w:val="20"/>
                <w:lang w:eastAsia="cs-CZ"/>
              </w:rPr>
              <w:t>VPM</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932</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Pomocní pracovníci ve výrobě</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387</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9321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Ruční baliči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w:t>
            </w:r>
          </w:p>
        </w:tc>
      </w:tr>
      <w:tr w:rsidR="00C43F2E" w:rsidRPr="00D4612E" w:rsidTr="004D2A8D">
        <w:trPr>
          <w:trHeight w:val="113"/>
        </w:trPr>
        <w:tc>
          <w:tcPr>
            <w:tcW w:w="960"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9329</w:t>
            </w:r>
          </w:p>
        </w:tc>
        <w:tc>
          <w:tcPr>
            <w:tcW w:w="7419"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Ostatní pomocní pracovníci ve výrobě</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379</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821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Montážní dělníci výrobků a zařízení</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322</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8211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Montážní dělníci mechanických zařízení</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24</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8212</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Montážní dělníci elektrických, energetických a elektronických zařízení</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24</w:t>
            </w:r>
          </w:p>
        </w:tc>
      </w:tr>
      <w:tr w:rsidR="00C43F2E" w:rsidRPr="00D4612E" w:rsidTr="004D2A8D">
        <w:trPr>
          <w:trHeight w:val="113"/>
        </w:trPr>
        <w:tc>
          <w:tcPr>
            <w:tcW w:w="960"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8219</w:t>
            </w:r>
          </w:p>
        </w:tc>
        <w:tc>
          <w:tcPr>
            <w:tcW w:w="7419"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Montážní dělníci ostatních výrobků</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272</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833</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Řidiči nákladních automobilů, autobusů a tramvají</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320</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8331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Řidiči autobusů, trolejbusů a tramvají</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62</w:t>
            </w:r>
          </w:p>
        </w:tc>
      </w:tr>
      <w:tr w:rsidR="00C43F2E" w:rsidRPr="00D4612E" w:rsidTr="004D2A8D">
        <w:trPr>
          <w:trHeight w:val="113"/>
        </w:trPr>
        <w:tc>
          <w:tcPr>
            <w:tcW w:w="960"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8332</w:t>
            </w:r>
          </w:p>
        </w:tc>
        <w:tc>
          <w:tcPr>
            <w:tcW w:w="7419"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Řidiči nákladních automobilů, tahačů a speciálních vozidel</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252</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722</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Kováři, nástrojaři a příbuzní pracovníci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310</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7221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Kováři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3</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7222</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Nástrojaři a příbuzní pracovníci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207</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7223</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Seřizovači a obsluha obráběcích strojů (kromě dřevoobráběcích)</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87</w:t>
            </w:r>
          </w:p>
        </w:tc>
      </w:tr>
      <w:tr w:rsidR="00C43F2E" w:rsidRPr="00D4612E" w:rsidTr="004D2A8D">
        <w:trPr>
          <w:trHeight w:val="113"/>
        </w:trPr>
        <w:tc>
          <w:tcPr>
            <w:tcW w:w="960"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7224</w:t>
            </w:r>
          </w:p>
        </w:tc>
        <w:tc>
          <w:tcPr>
            <w:tcW w:w="7419"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Brusiči, leštiči a ostřiči nástrojů a kovů</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13</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541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Pracovníci v oblasti ochrany a ostrahy</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253</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5411</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Příslušníci Hasičského záchranného sboru ČR a hasiči ostatních jednotek požární ochrany</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5412</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Policisté</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12</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5413</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Pracovníci vězeňské služby</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4</w:t>
            </w:r>
          </w:p>
        </w:tc>
      </w:tr>
      <w:tr w:rsidR="00C43F2E" w:rsidRPr="00D4612E" w:rsidTr="004D2A8D">
        <w:trPr>
          <w:trHeight w:val="113"/>
        </w:trPr>
        <w:tc>
          <w:tcPr>
            <w:tcW w:w="960"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lastRenderedPageBreak/>
              <w:t>5414</w:t>
            </w:r>
          </w:p>
        </w:tc>
        <w:tc>
          <w:tcPr>
            <w:tcW w:w="7419"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Pracovníci ostrahy a bezpečnostních agentur</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217</w:t>
            </w:r>
          </w:p>
        </w:tc>
      </w:tr>
      <w:tr w:rsidR="00C43F2E" w:rsidRPr="00D4612E" w:rsidTr="004D2A8D">
        <w:trPr>
          <w:trHeight w:val="113"/>
        </w:trPr>
        <w:tc>
          <w:tcPr>
            <w:tcW w:w="960"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5419</w:t>
            </w:r>
          </w:p>
        </w:tc>
        <w:tc>
          <w:tcPr>
            <w:tcW w:w="7419"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Pracovníci v oblasti ochrany a ostrahy jinde neuvedení</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17</w:t>
            </w:r>
          </w:p>
        </w:tc>
      </w:tr>
      <w:tr w:rsidR="00C43F2E" w:rsidRPr="00D4612E" w:rsidTr="004D2A8D">
        <w:trPr>
          <w:trHeight w:val="113"/>
        </w:trPr>
        <w:tc>
          <w:tcPr>
            <w:tcW w:w="960"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Celkem</w:t>
            </w:r>
          </w:p>
        </w:tc>
        <w:tc>
          <w:tcPr>
            <w:tcW w:w="7419"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 </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5 601</w:t>
            </w:r>
          </w:p>
        </w:tc>
      </w:tr>
    </w:tbl>
    <w:p w:rsidR="00C43F2E" w:rsidRDefault="00C43F2E" w:rsidP="00545E5A">
      <w:pPr>
        <w:spacing w:line="240" w:lineRule="auto"/>
        <w:rPr>
          <w:rFonts w:cs="Arial"/>
          <w:szCs w:val="20"/>
        </w:rPr>
      </w:pPr>
    </w:p>
    <w:tbl>
      <w:tblPr>
        <w:tblW w:w="9654" w:type="dxa"/>
        <w:tblInd w:w="55" w:type="dxa"/>
        <w:tblLayout w:type="fixed"/>
        <w:tblCellMar>
          <w:left w:w="70" w:type="dxa"/>
          <w:right w:w="70" w:type="dxa"/>
        </w:tblCellMar>
        <w:tblLook w:val="04A0"/>
      </w:tblPr>
      <w:tblGrid>
        <w:gridCol w:w="1149"/>
        <w:gridCol w:w="7513"/>
        <w:gridCol w:w="992"/>
      </w:tblGrid>
      <w:tr w:rsidR="00C43F2E" w:rsidRPr="00D4612E" w:rsidTr="00E06251">
        <w:trPr>
          <w:trHeight w:val="113"/>
        </w:trPr>
        <w:tc>
          <w:tcPr>
            <w:tcW w:w="8662" w:type="dxa"/>
            <w:gridSpan w:val="2"/>
            <w:tcBorders>
              <w:top w:val="nil"/>
              <w:left w:val="nil"/>
              <w:bottom w:val="nil"/>
              <w:right w:val="nil"/>
            </w:tcBorders>
            <w:shd w:val="clear" w:color="auto" w:fill="auto"/>
            <w:noWrap/>
            <w:vAlign w:val="bottom"/>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Uchazeči o zaměstnání</w:t>
            </w:r>
          </w:p>
        </w:tc>
        <w:tc>
          <w:tcPr>
            <w:tcW w:w="992" w:type="dxa"/>
            <w:tcBorders>
              <w:top w:val="nil"/>
              <w:left w:val="nil"/>
              <w:bottom w:val="nil"/>
              <w:right w:val="nil"/>
            </w:tcBorders>
            <w:shd w:val="clear" w:color="auto" w:fill="auto"/>
            <w:noWrap/>
            <w:vAlign w:val="bottom"/>
          </w:tcPr>
          <w:p w:rsidR="00C43F2E" w:rsidRPr="00D4612E" w:rsidRDefault="00C43F2E" w:rsidP="00545E5A">
            <w:pPr>
              <w:spacing w:line="240" w:lineRule="auto"/>
              <w:jc w:val="right"/>
              <w:rPr>
                <w:rFonts w:eastAsia="Times New Roman" w:cs="Arial"/>
                <w:b/>
                <w:bCs/>
                <w:color w:val="000000"/>
                <w:szCs w:val="20"/>
                <w:lang w:eastAsia="cs-CZ"/>
              </w:rPr>
            </w:pPr>
          </w:p>
        </w:tc>
      </w:tr>
      <w:tr w:rsidR="00C43F2E" w:rsidRPr="00D4612E" w:rsidTr="00E06251">
        <w:trPr>
          <w:trHeight w:val="113"/>
        </w:trPr>
        <w:tc>
          <w:tcPr>
            <w:tcW w:w="1149" w:type="dxa"/>
            <w:tcBorders>
              <w:top w:val="single" w:sz="4" w:space="0" w:color="auto"/>
              <w:left w:val="single" w:sz="4" w:space="0" w:color="auto"/>
              <w:bottom w:val="nil"/>
              <w:right w:val="nil"/>
            </w:tcBorders>
            <w:shd w:val="clear" w:color="auto" w:fill="auto"/>
            <w:noWrap/>
            <w:vAlign w:val="center"/>
            <w:hideMark/>
          </w:tcPr>
          <w:p w:rsidR="00C43F2E" w:rsidRPr="00D4612E" w:rsidRDefault="00C43F2E" w:rsidP="00545E5A">
            <w:pPr>
              <w:spacing w:line="240" w:lineRule="auto"/>
              <w:jc w:val="center"/>
              <w:rPr>
                <w:rFonts w:eastAsia="Times New Roman" w:cs="Arial"/>
                <w:color w:val="000000"/>
                <w:szCs w:val="20"/>
                <w:lang w:eastAsia="cs-CZ"/>
              </w:rPr>
            </w:pPr>
            <w:r w:rsidRPr="00D4612E">
              <w:rPr>
                <w:rFonts w:eastAsia="Times New Roman" w:cs="Arial"/>
                <w:color w:val="000000"/>
                <w:szCs w:val="20"/>
                <w:lang w:eastAsia="cs-CZ"/>
              </w:rPr>
              <w:t>CZ_ISCO</w:t>
            </w:r>
          </w:p>
        </w:tc>
        <w:tc>
          <w:tcPr>
            <w:tcW w:w="7513" w:type="dxa"/>
            <w:tcBorders>
              <w:top w:val="single" w:sz="4" w:space="0" w:color="auto"/>
              <w:left w:val="single" w:sz="4" w:space="0" w:color="auto"/>
              <w:bottom w:val="nil"/>
              <w:right w:val="single" w:sz="4" w:space="0" w:color="auto"/>
            </w:tcBorders>
            <w:shd w:val="clear" w:color="auto" w:fill="auto"/>
            <w:noWrap/>
            <w:vAlign w:val="center"/>
            <w:hideMark/>
          </w:tcPr>
          <w:p w:rsidR="00C43F2E" w:rsidRPr="00D4612E" w:rsidRDefault="00C43F2E" w:rsidP="00545E5A">
            <w:pPr>
              <w:spacing w:line="240" w:lineRule="auto"/>
              <w:jc w:val="center"/>
              <w:rPr>
                <w:rFonts w:eastAsia="Times New Roman" w:cs="Arial"/>
                <w:color w:val="000000"/>
                <w:szCs w:val="20"/>
                <w:lang w:eastAsia="cs-CZ"/>
              </w:rPr>
            </w:pPr>
            <w:r w:rsidRPr="00D4612E">
              <w:rPr>
                <w:rFonts w:eastAsia="Times New Roman" w:cs="Arial"/>
                <w:color w:val="000000"/>
                <w:szCs w:val="20"/>
                <w:lang w:eastAsia="cs-CZ"/>
              </w:rPr>
              <w:t>CZ_ISCO_POPIS</w:t>
            </w:r>
          </w:p>
        </w:tc>
        <w:tc>
          <w:tcPr>
            <w:tcW w:w="992" w:type="dxa"/>
            <w:tcBorders>
              <w:top w:val="single" w:sz="4" w:space="0" w:color="auto"/>
              <w:left w:val="nil"/>
              <w:bottom w:val="nil"/>
              <w:right w:val="single" w:sz="4" w:space="0" w:color="auto"/>
            </w:tcBorders>
            <w:shd w:val="clear" w:color="auto" w:fill="auto"/>
            <w:vAlign w:val="center"/>
            <w:hideMark/>
          </w:tcPr>
          <w:p w:rsidR="00C43F2E" w:rsidRPr="00D4612E" w:rsidRDefault="00C43F2E" w:rsidP="00545E5A">
            <w:pPr>
              <w:spacing w:line="240" w:lineRule="auto"/>
              <w:jc w:val="center"/>
              <w:rPr>
                <w:rFonts w:eastAsia="Times New Roman" w:cs="Arial"/>
                <w:color w:val="000000"/>
                <w:szCs w:val="20"/>
                <w:lang w:eastAsia="cs-CZ"/>
              </w:rPr>
            </w:pPr>
            <w:proofErr w:type="spellStart"/>
            <w:r w:rsidRPr="00D4612E">
              <w:rPr>
                <w:rFonts w:eastAsia="Times New Roman" w:cs="Arial"/>
                <w:color w:val="000000"/>
                <w:szCs w:val="20"/>
                <w:lang w:eastAsia="cs-CZ"/>
              </w:rPr>
              <w:t>UoZ</w:t>
            </w:r>
            <w:proofErr w:type="spellEnd"/>
          </w:p>
        </w:tc>
      </w:tr>
      <w:tr w:rsidR="00C43F2E" w:rsidRPr="00D4612E" w:rsidTr="00E06251">
        <w:trPr>
          <w:trHeight w:val="113"/>
        </w:trPr>
        <w:tc>
          <w:tcPr>
            <w:tcW w:w="1149" w:type="dxa"/>
            <w:tcBorders>
              <w:top w:val="single" w:sz="4" w:space="0" w:color="auto"/>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932</w:t>
            </w:r>
          </w:p>
        </w:tc>
        <w:tc>
          <w:tcPr>
            <w:tcW w:w="7513" w:type="dxa"/>
            <w:tcBorders>
              <w:top w:val="single" w:sz="4" w:space="0" w:color="auto"/>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Pomocní pracovníci ve výrobě</w:t>
            </w:r>
          </w:p>
        </w:tc>
        <w:tc>
          <w:tcPr>
            <w:tcW w:w="992" w:type="dxa"/>
            <w:tcBorders>
              <w:top w:val="single" w:sz="4" w:space="0" w:color="auto"/>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7 608</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9321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Ruční baliči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17</w:t>
            </w:r>
          </w:p>
        </w:tc>
      </w:tr>
      <w:tr w:rsidR="00C43F2E" w:rsidRPr="00D4612E" w:rsidTr="00E06251">
        <w:trPr>
          <w:trHeight w:val="113"/>
        </w:trPr>
        <w:tc>
          <w:tcPr>
            <w:tcW w:w="1149"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9329</w:t>
            </w:r>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Ostatní pomocní pracovníci ve výrobě</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5 889</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522</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Provozovatelé maloobchodních a velkoobchodních prodejen, prodavači a příbuzní pracovníci v prodejnách</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3 620</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5221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Provozovatelé maloobchodních a velkoobchodních prodejen</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16</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5222</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Vedoucí pracovních týmů v prodejnách</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64</w:t>
            </w:r>
          </w:p>
        </w:tc>
      </w:tr>
      <w:tr w:rsidR="00C43F2E" w:rsidRPr="00D4612E" w:rsidTr="00E06251">
        <w:trPr>
          <w:trHeight w:val="113"/>
        </w:trPr>
        <w:tc>
          <w:tcPr>
            <w:tcW w:w="1149"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5223</w:t>
            </w:r>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Prodavači v prodejnách</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3 509</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911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Uklízeči a pomocníci v domácnostech, hotelích, administrativních, průmyslových a jiných objektech</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3 168</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9111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Uklízeči a pomocníci v domácnostech (kromě hospodyní)</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53</w:t>
            </w:r>
          </w:p>
        </w:tc>
      </w:tr>
      <w:tr w:rsidR="00C43F2E" w:rsidRPr="00D4612E" w:rsidTr="00E06251">
        <w:trPr>
          <w:trHeight w:val="113"/>
        </w:trPr>
        <w:tc>
          <w:tcPr>
            <w:tcW w:w="1149"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9112</w:t>
            </w:r>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Uklízeči a pomocníci v hotelích, administrativních, průmyslových a jiných objektech</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2 542</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711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Řemeslníci a kvalifikovaní pracovníci hlavní stavební výroby</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2 737</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7111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Pracovníci montovaných staveb</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13</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7112</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Zedníci, kamnáři, dlaždiči a montéři suchých staveb</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2 010</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7113</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Kameníci, řezači a brusiči kamene</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26</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7114</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Betonáři, železobetonáři a příbuzní pracovníci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10</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7115</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Tesaři a stavební truhláři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271</w:t>
            </w:r>
          </w:p>
        </w:tc>
      </w:tr>
      <w:tr w:rsidR="00C43F2E" w:rsidRPr="00D4612E" w:rsidTr="00E06251">
        <w:trPr>
          <w:trHeight w:val="113"/>
        </w:trPr>
        <w:tc>
          <w:tcPr>
            <w:tcW w:w="1149" w:type="dxa"/>
            <w:tcBorders>
              <w:top w:val="nil"/>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7119</w:t>
            </w:r>
          </w:p>
        </w:tc>
        <w:tc>
          <w:tcPr>
            <w:tcW w:w="7513" w:type="dxa"/>
            <w:tcBorders>
              <w:top w:val="nil"/>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Ostatní řemeslníci a kvalifikovaní pracovníci hlavní stavební výroby</w:t>
            </w:r>
          </w:p>
        </w:tc>
        <w:tc>
          <w:tcPr>
            <w:tcW w:w="992" w:type="dxa"/>
            <w:tcBorders>
              <w:top w:val="nil"/>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368</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411</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Všeobecní administrativní pracovníci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color w:val="000000"/>
                <w:szCs w:val="20"/>
                <w:lang w:eastAsia="cs-CZ"/>
              </w:rPr>
            </w:pPr>
            <w:r w:rsidRPr="00D4612E">
              <w:rPr>
                <w:rFonts w:eastAsia="Times New Roman" w:cs="Arial"/>
                <w:b/>
                <w:bCs/>
                <w:color w:val="000000"/>
                <w:szCs w:val="20"/>
                <w:lang w:eastAsia="cs-CZ"/>
              </w:rPr>
              <w:t>2 712</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b/>
                <w:bCs/>
                <w:color w:val="000000"/>
                <w:szCs w:val="20"/>
                <w:lang w:eastAsia="cs-CZ"/>
              </w:rPr>
            </w:pPr>
            <w:r w:rsidRPr="00D4612E">
              <w:rPr>
                <w:rFonts w:eastAsia="Times New Roman" w:cs="Arial"/>
                <w:b/>
                <w:bCs/>
                <w:color w:val="000000"/>
                <w:szCs w:val="20"/>
                <w:lang w:eastAsia="cs-CZ"/>
              </w:rPr>
              <w:t>z toho</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 </w:t>
            </w:r>
          </w:p>
        </w:tc>
      </w:tr>
      <w:tr w:rsidR="00C43F2E" w:rsidRPr="00D4612E" w:rsidTr="00E06251">
        <w:trPr>
          <w:trHeight w:val="113"/>
        </w:trPr>
        <w:tc>
          <w:tcPr>
            <w:tcW w:w="1149" w:type="dxa"/>
            <w:tcBorders>
              <w:top w:val="nil"/>
              <w:left w:val="single" w:sz="4" w:space="0" w:color="auto"/>
              <w:bottom w:val="nil"/>
              <w:right w:val="nil"/>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4110</w:t>
            </w:r>
          </w:p>
        </w:tc>
        <w:tc>
          <w:tcPr>
            <w:tcW w:w="7513" w:type="dxa"/>
            <w:tcBorders>
              <w:top w:val="nil"/>
              <w:left w:val="single" w:sz="4" w:space="0" w:color="auto"/>
              <w:bottom w:val="nil"/>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color w:val="000000"/>
                <w:szCs w:val="20"/>
                <w:lang w:eastAsia="cs-CZ"/>
              </w:rPr>
            </w:pPr>
            <w:r w:rsidRPr="00D4612E">
              <w:rPr>
                <w:rFonts w:eastAsia="Times New Roman" w:cs="Arial"/>
                <w:color w:val="000000"/>
                <w:szCs w:val="20"/>
                <w:lang w:eastAsia="cs-CZ"/>
              </w:rPr>
              <w:t>Všeobecní administrativní pracovníci</w:t>
            </w:r>
          </w:p>
        </w:tc>
        <w:tc>
          <w:tcPr>
            <w:tcW w:w="992" w:type="dxa"/>
            <w:tcBorders>
              <w:top w:val="nil"/>
              <w:left w:val="nil"/>
              <w:bottom w:val="nil"/>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color w:val="000000"/>
                <w:szCs w:val="20"/>
                <w:lang w:eastAsia="cs-CZ"/>
              </w:rPr>
            </w:pPr>
            <w:r w:rsidRPr="00D4612E">
              <w:rPr>
                <w:rFonts w:eastAsia="Times New Roman" w:cs="Arial"/>
                <w:color w:val="000000"/>
                <w:szCs w:val="20"/>
                <w:lang w:eastAsia="cs-CZ"/>
              </w:rPr>
              <w:t>2 051</w:t>
            </w:r>
          </w:p>
        </w:tc>
      </w:tr>
      <w:tr w:rsidR="00C43F2E" w:rsidRPr="00D4612E" w:rsidTr="00E06251">
        <w:trPr>
          <w:trHeight w:val="113"/>
        </w:trPr>
        <w:tc>
          <w:tcPr>
            <w:tcW w:w="1149" w:type="dxa"/>
            <w:tcBorders>
              <w:top w:val="single" w:sz="4" w:space="0" w:color="auto"/>
              <w:left w:val="single" w:sz="4" w:space="0" w:color="auto"/>
              <w:bottom w:val="single" w:sz="4" w:space="0" w:color="auto"/>
              <w:right w:val="nil"/>
            </w:tcBorders>
            <w:shd w:val="clear" w:color="auto" w:fill="auto"/>
            <w:vAlign w:val="center"/>
            <w:hideMark/>
          </w:tcPr>
          <w:p w:rsidR="00C43F2E" w:rsidRPr="00D4612E" w:rsidRDefault="00C43F2E" w:rsidP="00545E5A">
            <w:pPr>
              <w:spacing w:line="240" w:lineRule="auto"/>
              <w:jc w:val="left"/>
              <w:rPr>
                <w:rFonts w:eastAsia="Times New Roman" w:cs="Arial"/>
                <w:b/>
                <w:bCs/>
                <w:szCs w:val="20"/>
                <w:lang w:eastAsia="cs-CZ"/>
              </w:rPr>
            </w:pPr>
            <w:r w:rsidRPr="00D4612E">
              <w:rPr>
                <w:rFonts w:eastAsia="Times New Roman" w:cs="Arial"/>
                <w:b/>
                <w:bCs/>
                <w:szCs w:val="20"/>
                <w:lang w:eastAsia="cs-CZ"/>
              </w:rPr>
              <w:t>Celkem</w:t>
            </w:r>
          </w:p>
        </w:tc>
        <w:tc>
          <w:tcPr>
            <w:tcW w:w="751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left"/>
              <w:rPr>
                <w:rFonts w:eastAsia="Times New Roman" w:cs="Arial"/>
                <w:b/>
                <w:bCs/>
                <w:szCs w:val="20"/>
                <w:lang w:eastAsia="cs-CZ"/>
              </w:rPr>
            </w:pPr>
            <w:r w:rsidRPr="00D4612E">
              <w:rPr>
                <w:rFonts w:eastAsia="Times New Roman" w:cs="Arial"/>
                <w:b/>
                <w:bCs/>
                <w:szCs w:val="20"/>
                <w:lang w:eastAsia="cs-CZ"/>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43F2E" w:rsidRPr="00D4612E" w:rsidRDefault="00C43F2E" w:rsidP="00545E5A">
            <w:pPr>
              <w:spacing w:line="240" w:lineRule="auto"/>
              <w:jc w:val="right"/>
              <w:rPr>
                <w:rFonts w:eastAsia="Times New Roman" w:cs="Arial"/>
                <w:b/>
                <w:bCs/>
                <w:szCs w:val="20"/>
                <w:lang w:eastAsia="cs-CZ"/>
              </w:rPr>
            </w:pPr>
            <w:r w:rsidRPr="00D4612E">
              <w:rPr>
                <w:rFonts w:eastAsia="Times New Roman" w:cs="Arial"/>
                <w:b/>
                <w:bCs/>
                <w:szCs w:val="20"/>
                <w:lang w:eastAsia="cs-CZ"/>
              </w:rPr>
              <w:t>50 778</w:t>
            </w:r>
          </w:p>
        </w:tc>
      </w:tr>
    </w:tbl>
    <w:p w:rsidR="00C43F2E" w:rsidRPr="00545E5A" w:rsidRDefault="00C43F2E" w:rsidP="00545E5A">
      <w:pPr>
        <w:spacing w:line="240" w:lineRule="auto"/>
        <w:rPr>
          <w:szCs w:val="24"/>
        </w:rPr>
      </w:pPr>
    </w:p>
    <w:p w:rsidR="00947AB7" w:rsidRPr="00545E5A" w:rsidRDefault="00947AB7" w:rsidP="00545E5A">
      <w:pPr>
        <w:spacing w:line="240" w:lineRule="auto"/>
        <w:rPr>
          <w:szCs w:val="24"/>
        </w:rPr>
      </w:pPr>
      <w:r w:rsidRPr="00545E5A">
        <w:rPr>
          <w:szCs w:val="24"/>
        </w:rPr>
        <w:t>Na základě dodaných podkladů byla vytipována vhodná pracovní místa, se kterými by se dali spárovat případní uchazeči o zaměstnání, kterým hrozí propuštění v souvislosti s uzavřením dolu ČSA. V případě některých profesí (zámečník, elektromontér, provozní elektrikář, provozní zámečník, strojník, referent, ekonom, techn</w:t>
      </w:r>
      <w:r w:rsidR="00C45897">
        <w:rPr>
          <w:szCs w:val="24"/>
        </w:rPr>
        <w:t>ický pracovník, řidič silničního</w:t>
      </w:r>
      <w:r w:rsidRPr="00545E5A">
        <w:rPr>
          <w:szCs w:val="24"/>
        </w:rPr>
        <w:t xml:space="preserve"> motorového vozidla, automechanik, zdravotní pracovník, manipulační dělník aj.) lze tvrdit, že nabídka volných pracovních míst v rámci </w:t>
      </w:r>
      <w:r w:rsidR="00D12769">
        <w:rPr>
          <w:szCs w:val="24"/>
        </w:rPr>
        <w:t>ULK</w:t>
      </w:r>
      <w:r w:rsidRPr="00545E5A">
        <w:rPr>
          <w:szCs w:val="24"/>
        </w:rPr>
        <w:t xml:space="preserve"> je dostatečná. </w:t>
      </w:r>
    </w:p>
    <w:p w:rsidR="00947AB7" w:rsidRPr="00545E5A" w:rsidRDefault="00947AB7" w:rsidP="00545E5A">
      <w:pPr>
        <w:spacing w:line="240" w:lineRule="auto"/>
        <w:rPr>
          <w:szCs w:val="24"/>
        </w:rPr>
      </w:pPr>
    </w:p>
    <w:p w:rsidR="00947AB7" w:rsidRPr="00545E5A" w:rsidRDefault="00947AB7" w:rsidP="00545E5A">
      <w:pPr>
        <w:spacing w:line="240" w:lineRule="auto"/>
        <w:rPr>
          <w:szCs w:val="24"/>
        </w:rPr>
      </w:pPr>
      <w:r w:rsidRPr="00545E5A">
        <w:rPr>
          <w:szCs w:val="24"/>
        </w:rPr>
        <w:t>V případě propuštěných zaměstnanců na dole ČSA je však třeba brát v úvahu úzce profilovou specializaci u jednotlivých pracovníků a také nesoulad mezi dosavadním mzdovým ohodnocením a nabízenou mzdou v případě zveřejňovaných volných pracovních míst (</w:t>
      </w:r>
      <w:r w:rsidR="00D12769">
        <w:rPr>
          <w:szCs w:val="24"/>
        </w:rPr>
        <w:t>dále jen „</w:t>
      </w:r>
      <w:r w:rsidRPr="00545E5A">
        <w:rPr>
          <w:szCs w:val="24"/>
        </w:rPr>
        <w:t>VPM</w:t>
      </w:r>
      <w:r w:rsidR="00D12769">
        <w:rPr>
          <w:szCs w:val="24"/>
        </w:rPr>
        <w:t>“</w:t>
      </w:r>
      <w:r w:rsidRPr="00545E5A">
        <w:rPr>
          <w:szCs w:val="24"/>
        </w:rPr>
        <w:t xml:space="preserve">), či potřebu dojíždění (nabízená VPM jsou napříč celým </w:t>
      </w:r>
      <w:r w:rsidR="00D12769">
        <w:rPr>
          <w:szCs w:val="24"/>
        </w:rPr>
        <w:t>ULK</w:t>
      </w:r>
      <w:r w:rsidRPr="00545E5A">
        <w:rPr>
          <w:szCs w:val="24"/>
        </w:rPr>
        <w:t xml:space="preserve">). </w:t>
      </w:r>
    </w:p>
    <w:p w:rsidR="00947AB7" w:rsidRPr="00545E5A" w:rsidRDefault="00947AB7" w:rsidP="00545E5A">
      <w:pPr>
        <w:spacing w:line="240" w:lineRule="auto"/>
        <w:rPr>
          <w:szCs w:val="24"/>
        </w:rPr>
      </w:pPr>
    </w:p>
    <w:p w:rsidR="00947AB7" w:rsidRPr="00545E5A" w:rsidRDefault="00947AB7" w:rsidP="00545E5A">
      <w:pPr>
        <w:spacing w:line="240" w:lineRule="auto"/>
        <w:rPr>
          <w:szCs w:val="24"/>
        </w:rPr>
      </w:pPr>
      <w:r w:rsidRPr="00545E5A">
        <w:rPr>
          <w:szCs w:val="24"/>
        </w:rPr>
        <w:lastRenderedPageBreak/>
        <w:t xml:space="preserve">Pro další profese (horník, dělník na povrchu hornických provozů, řidič důlních mechanismů, řidič pracovních strojů, báňský úpravář, hasič, vážný atd.) je reálnou možností  především rekvalifikace do oblasti strojírenství, kde je aktuálně velmi vysoká poptávka po vybraných profesích (strojírenský technik, zámečník strojů, svářeč, seřizovač a obsluha strojů, operátor výrobní linky, mechanik a opravář, řidič, skladník, montážní, manipulační či pomocný dělník apod.). </w:t>
      </w:r>
    </w:p>
    <w:p w:rsidR="00947AB7" w:rsidRPr="00545E5A" w:rsidRDefault="00947AB7" w:rsidP="00545E5A">
      <w:pPr>
        <w:spacing w:line="240" w:lineRule="auto"/>
        <w:rPr>
          <w:szCs w:val="24"/>
        </w:rPr>
      </w:pPr>
    </w:p>
    <w:p w:rsidR="007861DA" w:rsidRPr="00E06251" w:rsidRDefault="00906C41" w:rsidP="00545E5A">
      <w:pPr>
        <w:spacing w:line="240" w:lineRule="auto"/>
        <w:rPr>
          <w:szCs w:val="24"/>
        </w:rPr>
      </w:pPr>
      <w:r w:rsidRPr="00E06251">
        <w:rPr>
          <w:szCs w:val="24"/>
        </w:rPr>
        <w:t xml:space="preserve">MPSV ve spolupráci </w:t>
      </w:r>
      <w:r w:rsidR="005E1905">
        <w:rPr>
          <w:szCs w:val="24"/>
        </w:rPr>
        <w:t>s</w:t>
      </w:r>
      <w:r w:rsidRPr="00E06251">
        <w:rPr>
          <w:szCs w:val="24"/>
        </w:rPr>
        <w:t> ÚP ČR vypracovalo materiál Analýza nabídky a poptávky na trhu práce, který zevrubně analyzuje nabídku a poptávku na trhu práce jak z celostátního, tak regionálního pohledu, včetně vymezení základních problému v harmonizaci nabídkové a poptávkové strany trhu práce a návrhu opatření k jejich řešení. S uvedeným materiálem se vláda seznámila dne 15. 6. 2016.</w:t>
      </w:r>
      <w:r w:rsidR="00120C45">
        <w:rPr>
          <w:szCs w:val="24"/>
        </w:rPr>
        <w:t xml:space="preserve"> Materiál je rovněž předkládán Radě hospodářské a sociální dohody.</w:t>
      </w:r>
    </w:p>
    <w:p w:rsidR="00906C41" w:rsidRDefault="00906C41" w:rsidP="00545E5A">
      <w:pPr>
        <w:spacing w:line="240" w:lineRule="auto"/>
        <w:rPr>
          <w:b/>
          <w:szCs w:val="24"/>
        </w:rPr>
      </w:pPr>
    </w:p>
    <w:p w:rsidR="008C38E7" w:rsidRPr="00545E5A" w:rsidRDefault="008C38E7" w:rsidP="00545E5A">
      <w:pPr>
        <w:spacing w:line="240" w:lineRule="auto"/>
        <w:rPr>
          <w:b/>
          <w:szCs w:val="24"/>
        </w:rPr>
      </w:pPr>
      <w:r w:rsidRPr="00545E5A">
        <w:rPr>
          <w:b/>
          <w:szCs w:val="24"/>
        </w:rPr>
        <w:t>Uplatnitelnost propouštěných zaměstnanců na trhu práce podle vykonávan</w:t>
      </w:r>
      <w:r w:rsidR="00C45897">
        <w:rPr>
          <w:b/>
          <w:szCs w:val="24"/>
        </w:rPr>
        <w:t>é</w:t>
      </w:r>
      <w:r w:rsidRPr="00545E5A">
        <w:rPr>
          <w:b/>
          <w:szCs w:val="24"/>
        </w:rPr>
        <w:t xml:space="preserve"> profese (dle ÚP ČR)</w:t>
      </w:r>
    </w:p>
    <w:p w:rsidR="001B6314" w:rsidRPr="00545E5A" w:rsidRDefault="001B6314" w:rsidP="00545E5A">
      <w:pPr>
        <w:spacing w:line="240" w:lineRule="auto"/>
        <w:rPr>
          <w:b/>
          <w:szCs w:val="24"/>
        </w:rPr>
      </w:pPr>
    </w:p>
    <w:p w:rsidR="008C38E7" w:rsidRPr="00545E5A" w:rsidRDefault="008C38E7" w:rsidP="00545E5A">
      <w:pPr>
        <w:numPr>
          <w:ilvl w:val="0"/>
          <w:numId w:val="16"/>
        </w:numPr>
        <w:spacing w:line="240" w:lineRule="auto"/>
        <w:rPr>
          <w:szCs w:val="24"/>
        </w:rPr>
      </w:pPr>
      <w:r w:rsidRPr="00545E5A">
        <w:rPr>
          <w:b/>
          <w:szCs w:val="24"/>
        </w:rPr>
        <w:t>Obsluha zařízení na těžbu a zpracování nerostných surovin</w:t>
      </w:r>
      <w:r w:rsidRPr="00545E5A">
        <w:rPr>
          <w:szCs w:val="24"/>
        </w:rPr>
        <w:t xml:space="preserve"> (811) - tito pracovníci by tvořili téměř polovinu všech propouštěných. Jedná se o největší a zároveň o jednu z nejhůře </w:t>
      </w:r>
      <w:proofErr w:type="spellStart"/>
      <w:r w:rsidRPr="00545E5A">
        <w:rPr>
          <w:szCs w:val="24"/>
        </w:rPr>
        <w:t>umístitelných</w:t>
      </w:r>
      <w:proofErr w:type="spellEnd"/>
      <w:r w:rsidRPr="00545E5A">
        <w:rPr>
          <w:szCs w:val="24"/>
        </w:rPr>
        <w:t xml:space="preserve"> skupin uchazečů o zaměstnání, neboť </w:t>
      </w:r>
      <w:r w:rsidR="00D12769">
        <w:rPr>
          <w:szCs w:val="24"/>
        </w:rPr>
        <w:t>VPM</w:t>
      </w:r>
      <w:r w:rsidRPr="00545E5A">
        <w:rPr>
          <w:szCs w:val="24"/>
        </w:rPr>
        <w:t xml:space="preserve"> se pro ni vytváří velmi zřídka. Velká část (přesný údaj není znám) těchto pracovníků navíc disponuje pouze základním vzděláním, což je značně znevýhodňuje na trhu práce. Možnost rekvalifikace těchto zaměstnanců s dlouhodobě zaběhlými pracovními návyky je poměrně náročná.</w:t>
      </w:r>
    </w:p>
    <w:p w:rsidR="008C38E7" w:rsidRPr="00545E5A" w:rsidRDefault="008C38E7" w:rsidP="00545E5A">
      <w:pPr>
        <w:spacing w:line="240" w:lineRule="auto"/>
        <w:rPr>
          <w:szCs w:val="24"/>
        </w:rPr>
      </w:pPr>
    </w:p>
    <w:p w:rsidR="008C38E7" w:rsidRPr="00545E5A" w:rsidRDefault="008C38E7" w:rsidP="00545E5A">
      <w:pPr>
        <w:numPr>
          <w:ilvl w:val="0"/>
          <w:numId w:val="16"/>
        </w:numPr>
        <w:spacing w:line="240" w:lineRule="auto"/>
        <w:rPr>
          <w:szCs w:val="24"/>
        </w:rPr>
      </w:pPr>
      <w:r w:rsidRPr="00545E5A">
        <w:rPr>
          <w:b/>
          <w:szCs w:val="24"/>
        </w:rPr>
        <w:t xml:space="preserve">Provozní zámečníci, údržbáři </w:t>
      </w:r>
      <w:r w:rsidRPr="00545E5A">
        <w:rPr>
          <w:szCs w:val="24"/>
        </w:rPr>
        <w:t>(72223) - jedná se o druhou nejpočetněji zastoupenou skupinu s poměrně širokým spektrem dosaženého vzdělání (základní - vyučení - středoškolské). V případě těchto uchazečů o zaměstnání lze očekávat poměrně značný zájem ze strany zaměstnavatelů, neboť se jedná o dlouhodobě nedostatkové profese vč. příbuzných, pro které bylo jen v první polovině roku 2015 nahlášeno v </w:t>
      </w:r>
      <w:r w:rsidR="00D12769">
        <w:rPr>
          <w:szCs w:val="24"/>
        </w:rPr>
        <w:t>ULK</w:t>
      </w:r>
      <w:r w:rsidRPr="00545E5A">
        <w:rPr>
          <w:szCs w:val="24"/>
        </w:rPr>
        <w:t xml:space="preserve"> několik stovek </w:t>
      </w:r>
      <w:r w:rsidR="00D12769">
        <w:rPr>
          <w:szCs w:val="24"/>
        </w:rPr>
        <w:t>VPM.</w:t>
      </w:r>
    </w:p>
    <w:p w:rsidR="008C38E7" w:rsidRPr="00545E5A" w:rsidRDefault="008C38E7" w:rsidP="00545E5A">
      <w:pPr>
        <w:spacing w:line="240" w:lineRule="auto"/>
        <w:rPr>
          <w:szCs w:val="24"/>
        </w:rPr>
      </w:pPr>
    </w:p>
    <w:p w:rsidR="008C38E7" w:rsidRPr="00545E5A" w:rsidRDefault="008C38E7" w:rsidP="00545E5A">
      <w:pPr>
        <w:numPr>
          <w:ilvl w:val="0"/>
          <w:numId w:val="16"/>
        </w:numPr>
        <w:spacing w:line="240" w:lineRule="auto"/>
        <w:rPr>
          <w:szCs w:val="24"/>
        </w:rPr>
      </w:pPr>
      <w:r w:rsidRPr="00545E5A">
        <w:rPr>
          <w:b/>
          <w:szCs w:val="24"/>
        </w:rPr>
        <w:t>Montéři, mechanici a opraváři elektrických a elektronických zařízení</w:t>
      </w:r>
      <w:r w:rsidR="00C45897">
        <w:rPr>
          <w:szCs w:val="24"/>
        </w:rPr>
        <w:t xml:space="preserve"> (741, 742) -</w:t>
      </w:r>
      <w:r w:rsidRPr="00545E5A">
        <w:rPr>
          <w:szCs w:val="24"/>
        </w:rPr>
        <w:t xml:space="preserve"> situace na trhu práce je obdobná jako v případě provozních zámečníků a údržbářů. Většinou se jedná o vyučené či středoškoláky se vzděláním v oborech, ve kterých je po kvalitních zaměstnancích dlouhodobá poptávka.</w:t>
      </w:r>
    </w:p>
    <w:p w:rsidR="008C38E7" w:rsidRPr="00545E5A" w:rsidRDefault="008C38E7" w:rsidP="00545E5A">
      <w:pPr>
        <w:spacing w:line="240" w:lineRule="auto"/>
        <w:rPr>
          <w:szCs w:val="24"/>
        </w:rPr>
      </w:pPr>
    </w:p>
    <w:p w:rsidR="008C38E7" w:rsidRPr="00545E5A" w:rsidRDefault="008C38E7" w:rsidP="00545E5A">
      <w:pPr>
        <w:numPr>
          <w:ilvl w:val="0"/>
          <w:numId w:val="16"/>
        </w:numPr>
        <w:spacing w:line="240" w:lineRule="auto"/>
        <w:rPr>
          <w:szCs w:val="24"/>
        </w:rPr>
      </w:pPr>
      <w:r w:rsidRPr="00545E5A">
        <w:rPr>
          <w:b/>
          <w:szCs w:val="24"/>
        </w:rPr>
        <w:t>Technici ve fyzikálních a průmyslových oborech</w:t>
      </w:r>
      <w:r w:rsidRPr="00545E5A">
        <w:rPr>
          <w:szCs w:val="24"/>
        </w:rPr>
        <w:t xml:space="preserve"> (311) - jedná se o vysoce kvalifikované (středoškoláci, vysokoškoláci) odborníky, kteří by neměli mít větší problémy se získáním nového pracovního místa. </w:t>
      </w:r>
      <w:r w:rsidR="00D12769">
        <w:rPr>
          <w:szCs w:val="24"/>
        </w:rPr>
        <w:t>VPM</w:t>
      </w:r>
      <w:r w:rsidRPr="00545E5A">
        <w:rPr>
          <w:szCs w:val="24"/>
        </w:rPr>
        <w:t xml:space="preserve"> v technických profesích se dlouhodobě vytváří, a také možnost rekvalifikace těchto zaměstnanců by měla být poměrně úspěšná. V krátkodobém horizontu může být problémem jejich vysoký počet.</w:t>
      </w:r>
    </w:p>
    <w:p w:rsidR="008C38E7" w:rsidRPr="00545E5A" w:rsidRDefault="008C38E7" w:rsidP="00545E5A">
      <w:pPr>
        <w:spacing w:line="240" w:lineRule="auto"/>
        <w:rPr>
          <w:szCs w:val="24"/>
        </w:rPr>
      </w:pPr>
    </w:p>
    <w:p w:rsidR="008C38E7" w:rsidRPr="00545E5A" w:rsidRDefault="008C38E7" w:rsidP="00545E5A">
      <w:pPr>
        <w:numPr>
          <w:ilvl w:val="0"/>
          <w:numId w:val="16"/>
        </w:numPr>
        <w:spacing w:line="240" w:lineRule="auto"/>
        <w:rPr>
          <w:szCs w:val="24"/>
        </w:rPr>
      </w:pPr>
      <w:r w:rsidRPr="00545E5A">
        <w:rPr>
          <w:b/>
          <w:szCs w:val="24"/>
        </w:rPr>
        <w:t>Pomocní pracovníci v oblasti těžby</w:t>
      </w:r>
      <w:r w:rsidRPr="00545E5A">
        <w:rPr>
          <w:szCs w:val="24"/>
        </w:rPr>
        <w:t xml:space="preserve"> (9311) - nejhůře </w:t>
      </w:r>
      <w:proofErr w:type="spellStart"/>
      <w:r w:rsidRPr="00545E5A">
        <w:rPr>
          <w:szCs w:val="24"/>
        </w:rPr>
        <w:t>umístitelná</w:t>
      </w:r>
      <w:proofErr w:type="spellEnd"/>
      <w:r w:rsidRPr="00545E5A">
        <w:rPr>
          <w:szCs w:val="24"/>
        </w:rPr>
        <w:t xml:space="preserve"> skupina uchazečů společně s obsluhou zařízení </w:t>
      </w:r>
      <w:r w:rsidR="00C45897">
        <w:rPr>
          <w:szCs w:val="24"/>
        </w:rPr>
        <w:t>těžby</w:t>
      </w:r>
      <w:r w:rsidRPr="00545E5A">
        <w:rPr>
          <w:szCs w:val="24"/>
        </w:rPr>
        <w:t xml:space="preserve"> a zpracování nerostných surovin. Volná pracovní místa se pro ně p</w:t>
      </w:r>
      <w:r w:rsidR="00D12769">
        <w:rPr>
          <w:szCs w:val="24"/>
        </w:rPr>
        <w:t>rakticky nevytváří a vzhledem k </w:t>
      </w:r>
      <w:r w:rsidRPr="00545E5A">
        <w:rPr>
          <w:szCs w:val="24"/>
        </w:rPr>
        <w:t>často základnímu vzdělání s dosažitelnou praxí pouze v oblasti těžebního průmyslu je pro ně složitá i možnost využití rekvalifikace. Stávají se tak jednou z nejvíce ohrožených skupin na trhu práce.</w:t>
      </w:r>
    </w:p>
    <w:p w:rsidR="008C38E7" w:rsidRPr="00545E5A" w:rsidRDefault="008C38E7" w:rsidP="00545E5A">
      <w:pPr>
        <w:spacing w:line="240" w:lineRule="auto"/>
        <w:rPr>
          <w:szCs w:val="24"/>
        </w:rPr>
      </w:pPr>
    </w:p>
    <w:p w:rsidR="008C38E7" w:rsidRPr="00545E5A" w:rsidRDefault="008C38E7" w:rsidP="00545E5A">
      <w:pPr>
        <w:numPr>
          <w:ilvl w:val="0"/>
          <w:numId w:val="16"/>
        </w:numPr>
        <w:spacing w:line="240" w:lineRule="auto"/>
        <w:rPr>
          <w:szCs w:val="24"/>
        </w:rPr>
      </w:pPr>
      <w:r w:rsidRPr="00545E5A">
        <w:rPr>
          <w:b/>
          <w:szCs w:val="24"/>
        </w:rPr>
        <w:t>Hasiči podnikových sborů</w:t>
      </w:r>
      <w:r w:rsidRPr="00545E5A">
        <w:rPr>
          <w:szCs w:val="24"/>
        </w:rPr>
        <w:t xml:space="preserve"> (54114) - jedná se o úzce profilovou profesi, pro kterou se </w:t>
      </w:r>
      <w:r w:rsidR="00D12769">
        <w:rPr>
          <w:szCs w:val="24"/>
        </w:rPr>
        <w:t>VPM</w:t>
      </w:r>
      <w:r w:rsidRPr="00545E5A">
        <w:rPr>
          <w:szCs w:val="24"/>
        </w:rPr>
        <w:t xml:space="preserve"> vytváří, ale ve velmi omezeném množství. Vzhledem k tomu, že jde většinou</w:t>
      </w:r>
      <w:r w:rsidR="00D4612E">
        <w:rPr>
          <w:szCs w:val="24"/>
        </w:rPr>
        <w:t xml:space="preserve"> </w:t>
      </w:r>
      <w:r w:rsidRPr="00545E5A">
        <w:rPr>
          <w:szCs w:val="24"/>
        </w:rPr>
        <w:t>o pracovník</w:t>
      </w:r>
      <w:r w:rsidR="00D4612E">
        <w:rPr>
          <w:szCs w:val="24"/>
        </w:rPr>
        <w:t>y se středoškolským vzděláním a </w:t>
      </w:r>
      <w:r w:rsidRPr="00545E5A">
        <w:rPr>
          <w:szCs w:val="24"/>
        </w:rPr>
        <w:t>praxí v oboru, lze předpokládat jejich úspěšné umístění, ale v delším časovém horizontu.</w:t>
      </w:r>
    </w:p>
    <w:p w:rsidR="008C38E7" w:rsidRPr="00545E5A" w:rsidRDefault="008C38E7" w:rsidP="00545E5A">
      <w:pPr>
        <w:spacing w:line="240" w:lineRule="auto"/>
        <w:rPr>
          <w:szCs w:val="24"/>
        </w:rPr>
      </w:pPr>
    </w:p>
    <w:p w:rsidR="008C38E7" w:rsidRPr="00545E5A" w:rsidRDefault="008C38E7" w:rsidP="00545E5A">
      <w:pPr>
        <w:numPr>
          <w:ilvl w:val="0"/>
          <w:numId w:val="16"/>
        </w:numPr>
        <w:spacing w:line="240" w:lineRule="auto"/>
        <w:rPr>
          <w:szCs w:val="24"/>
        </w:rPr>
      </w:pPr>
      <w:r w:rsidRPr="00545E5A">
        <w:rPr>
          <w:b/>
          <w:szCs w:val="24"/>
        </w:rPr>
        <w:t>Mistři a příbuzní pracovníci v oblasti těžby, hutní výroby a slévárenství</w:t>
      </w:r>
      <w:r w:rsidRPr="00545E5A">
        <w:rPr>
          <w:szCs w:val="24"/>
        </w:rPr>
        <w:t xml:space="preserve"> (3121) - jejich nespornou výhodou je vzdělání a praxe v dané problematice. Handicapem je minimální poptávka ze strany zaměstnavatelů a vyšší mzdové nároky. Rekvalifikace je jednou z možností, jak se uplatnit na trhu práce.</w:t>
      </w:r>
    </w:p>
    <w:p w:rsidR="008C38E7" w:rsidRPr="00545E5A" w:rsidRDefault="008C38E7" w:rsidP="00545E5A">
      <w:pPr>
        <w:spacing w:line="240" w:lineRule="auto"/>
        <w:rPr>
          <w:szCs w:val="24"/>
        </w:rPr>
      </w:pPr>
    </w:p>
    <w:p w:rsidR="00947AB7" w:rsidRPr="00C45897" w:rsidRDefault="001B6314" w:rsidP="00C45897">
      <w:pPr>
        <w:pStyle w:val="Odstavecseseznamem"/>
        <w:numPr>
          <w:ilvl w:val="0"/>
          <w:numId w:val="21"/>
        </w:numPr>
        <w:spacing w:line="240" w:lineRule="auto"/>
        <w:rPr>
          <w:szCs w:val="24"/>
        </w:rPr>
      </w:pPr>
      <w:r w:rsidRPr="00C45897">
        <w:rPr>
          <w:b/>
          <w:szCs w:val="24"/>
        </w:rPr>
        <w:t>Obsluha pojízdných zařízení</w:t>
      </w:r>
      <w:r w:rsidRPr="00C45897">
        <w:rPr>
          <w:szCs w:val="24"/>
        </w:rPr>
        <w:t xml:space="preserve"> (834) - ačkoliv volná pracovní místa jsou pro uvedenou profesi hlášena, lze se důvodně domnívat, že důlní specialisté budou na trhu práce znevýhodněni. Dosažené vzdělání (základ</w:t>
      </w:r>
      <w:r w:rsidR="00D4612E" w:rsidRPr="00C45897">
        <w:rPr>
          <w:szCs w:val="24"/>
        </w:rPr>
        <w:t>ní - vyučení - středoškolské) a </w:t>
      </w:r>
      <w:r w:rsidRPr="00C45897">
        <w:rPr>
          <w:szCs w:val="24"/>
        </w:rPr>
        <w:t>dosažené praxe dávají určitý prostor</w:t>
      </w:r>
      <w:r w:rsidR="00D4612E" w:rsidRPr="00C45897">
        <w:rPr>
          <w:szCs w:val="24"/>
        </w:rPr>
        <w:t xml:space="preserve"> </w:t>
      </w:r>
      <w:r w:rsidRPr="00C45897">
        <w:rPr>
          <w:szCs w:val="24"/>
        </w:rPr>
        <w:t>pro rekvalifikaci, ale získání pracovního místa v příbuzném oboru nebude snadné.</w:t>
      </w:r>
    </w:p>
    <w:p w:rsidR="00947AB7" w:rsidRPr="00545E5A" w:rsidRDefault="00947AB7" w:rsidP="00545E5A">
      <w:pPr>
        <w:spacing w:line="240" w:lineRule="auto"/>
        <w:rPr>
          <w:szCs w:val="24"/>
        </w:rPr>
      </w:pPr>
    </w:p>
    <w:p w:rsidR="00DB30E3" w:rsidRPr="00545E5A" w:rsidRDefault="00DB30E3" w:rsidP="00545E5A">
      <w:pPr>
        <w:pStyle w:val="Odstavecseseznamem"/>
        <w:numPr>
          <w:ilvl w:val="0"/>
          <w:numId w:val="6"/>
        </w:numPr>
        <w:spacing w:line="240" w:lineRule="auto"/>
        <w:rPr>
          <w:rFonts w:cs="Arial"/>
          <w:b/>
          <w:szCs w:val="24"/>
          <w:u w:val="single"/>
        </w:rPr>
      </w:pPr>
      <w:r w:rsidRPr="00545E5A">
        <w:rPr>
          <w:rFonts w:cs="Arial"/>
          <w:b/>
          <w:szCs w:val="24"/>
          <w:u w:val="single"/>
        </w:rPr>
        <w:t>Cílený program</w:t>
      </w:r>
      <w:r w:rsidR="00096B45" w:rsidRPr="00545E5A">
        <w:rPr>
          <w:rFonts w:cs="Arial"/>
          <w:b/>
          <w:szCs w:val="24"/>
          <w:u w:val="single"/>
        </w:rPr>
        <w:t xml:space="preserve"> (S2)</w:t>
      </w:r>
    </w:p>
    <w:p w:rsidR="00DB30E3" w:rsidRPr="00545E5A" w:rsidRDefault="00DB30E3" w:rsidP="00545E5A">
      <w:pPr>
        <w:spacing w:line="240" w:lineRule="auto"/>
        <w:rPr>
          <w:rFonts w:cs="Arial"/>
          <w:szCs w:val="24"/>
        </w:rPr>
      </w:pPr>
    </w:p>
    <w:p w:rsidR="00DB30E3" w:rsidRPr="00545E5A" w:rsidRDefault="00DB30E3" w:rsidP="00545E5A">
      <w:pPr>
        <w:spacing w:line="240" w:lineRule="auto"/>
        <w:rPr>
          <w:rFonts w:cs="Arial"/>
          <w:szCs w:val="24"/>
        </w:rPr>
      </w:pPr>
      <w:r w:rsidRPr="00545E5A">
        <w:rPr>
          <w:rFonts w:cs="Arial"/>
          <w:szCs w:val="24"/>
        </w:rPr>
        <w:t xml:space="preserve">Cílený program je v současné době připravován Úřadem práce České republiky – krajskou pobočkou v Ústí nad Labem. </w:t>
      </w:r>
    </w:p>
    <w:p w:rsidR="00DB30E3" w:rsidRPr="00545E5A" w:rsidRDefault="00DB30E3" w:rsidP="00545E5A">
      <w:pPr>
        <w:spacing w:line="240" w:lineRule="auto"/>
        <w:rPr>
          <w:rFonts w:cs="Arial"/>
          <w:szCs w:val="24"/>
        </w:rPr>
      </w:pPr>
    </w:p>
    <w:p w:rsidR="00DB30E3" w:rsidRPr="00545E5A" w:rsidRDefault="00DB30E3" w:rsidP="00545E5A">
      <w:pPr>
        <w:spacing w:line="240" w:lineRule="auto"/>
        <w:rPr>
          <w:rFonts w:cs="Arial"/>
          <w:szCs w:val="24"/>
        </w:rPr>
      </w:pPr>
      <w:r w:rsidRPr="00545E5A">
        <w:rPr>
          <w:rFonts w:cs="Arial"/>
          <w:szCs w:val="24"/>
        </w:rPr>
        <w:t>Cílený program bude obsahovat:</w:t>
      </w:r>
    </w:p>
    <w:p w:rsidR="00C43F2E" w:rsidRPr="00545E5A" w:rsidRDefault="00C43F2E" w:rsidP="00545E5A">
      <w:pPr>
        <w:spacing w:line="240" w:lineRule="auto"/>
        <w:rPr>
          <w:rFonts w:cs="Arial"/>
          <w:szCs w:val="24"/>
        </w:rPr>
      </w:pPr>
    </w:p>
    <w:p w:rsidR="00DB30E3" w:rsidRPr="00545E5A" w:rsidRDefault="00DB30E3" w:rsidP="00545E5A">
      <w:pPr>
        <w:pStyle w:val="Odstavecseseznamem"/>
        <w:numPr>
          <w:ilvl w:val="0"/>
          <w:numId w:val="7"/>
        </w:numPr>
        <w:spacing w:line="240" w:lineRule="auto"/>
        <w:rPr>
          <w:rFonts w:cs="Arial"/>
          <w:szCs w:val="24"/>
        </w:rPr>
      </w:pPr>
      <w:r w:rsidRPr="00545E5A">
        <w:rPr>
          <w:rFonts w:cs="Arial"/>
          <w:i/>
          <w:szCs w:val="24"/>
        </w:rPr>
        <w:t>Vytvoření mobilního pracoviště ÚP ČR</w:t>
      </w:r>
    </w:p>
    <w:p w:rsidR="00DB30E3" w:rsidRPr="00545E5A" w:rsidRDefault="00DB30E3" w:rsidP="00545E5A">
      <w:pPr>
        <w:spacing w:line="240" w:lineRule="auto"/>
        <w:rPr>
          <w:rFonts w:cs="Arial"/>
          <w:szCs w:val="24"/>
        </w:rPr>
      </w:pPr>
    </w:p>
    <w:p w:rsidR="00C64810" w:rsidRDefault="00C64810" w:rsidP="00545E5A">
      <w:pPr>
        <w:spacing w:line="240" w:lineRule="auto"/>
        <w:rPr>
          <w:rFonts w:cs="Arial"/>
          <w:szCs w:val="24"/>
        </w:rPr>
      </w:pPr>
      <w:r w:rsidRPr="00545E5A">
        <w:rPr>
          <w:rFonts w:cs="Arial"/>
          <w:szCs w:val="24"/>
        </w:rPr>
        <w:t xml:space="preserve">Za účelem zefektivnění celého procesu péče o propouštěné zaměstnance se jeví jako vhodné vytvořit v rámci ÚP ČR mobilní pracoviště, resp. pracovní tým ÚP ČR složený ze zástupců útvarů poradenství a zprostředkování, kteří by v případě součinnosti zaměstnavatele mohli působit přímo na pracovištích zaměstnavatele, poskytovat poradenství propuštěným zaměstnancům, popřípadě provádět další činnosti, které náleží do kompetence ÚP ČR a souvisí se zprostředkováním zaměstnání (evidence </w:t>
      </w:r>
      <w:r w:rsidR="00D4612E">
        <w:rPr>
          <w:rFonts w:cs="Arial"/>
          <w:szCs w:val="24"/>
        </w:rPr>
        <w:t>uchazečů o zaměstnání</w:t>
      </w:r>
      <w:r w:rsidRPr="00545E5A">
        <w:rPr>
          <w:rFonts w:cs="Arial"/>
          <w:szCs w:val="24"/>
        </w:rPr>
        <w:t>, nabídka a aktivní vyhledávání pracovních míst, poradenství, nabídka rekvalifikací). V rámci pracovního týmu by na základě individualizovaného přístupu došlo k posouzení možností uplatnění propuštěného zaměstnance na regionálním trhu práce, zhodnocení, zda je možné jej uplatnit u jiné těžební společnosti či je nutná další intervence. V maximální míře by bylo využito aktivní</w:t>
      </w:r>
      <w:r w:rsidR="00C45897">
        <w:rPr>
          <w:rFonts w:cs="Arial"/>
          <w:szCs w:val="24"/>
        </w:rPr>
        <w:t>ho</w:t>
      </w:r>
      <w:r w:rsidRPr="00545E5A">
        <w:rPr>
          <w:rFonts w:cs="Arial"/>
          <w:szCs w:val="24"/>
        </w:rPr>
        <w:t xml:space="preserve"> </w:t>
      </w:r>
      <w:proofErr w:type="spellStart"/>
      <w:r w:rsidRPr="00545E5A">
        <w:rPr>
          <w:rFonts w:cs="Arial"/>
          <w:szCs w:val="24"/>
        </w:rPr>
        <w:t>matchingu</w:t>
      </w:r>
      <w:proofErr w:type="spellEnd"/>
      <w:r w:rsidRPr="00545E5A">
        <w:rPr>
          <w:rFonts w:cs="Arial"/>
          <w:szCs w:val="24"/>
        </w:rPr>
        <w:t xml:space="preserve"> a aktivního vyhledávání pracovních míst ze strany ÚP ČR. </w:t>
      </w:r>
    </w:p>
    <w:p w:rsidR="00D54E9B" w:rsidRDefault="00D54E9B" w:rsidP="00545E5A">
      <w:pPr>
        <w:spacing w:line="240" w:lineRule="auto"/>
        <w:rPr>
          <w:rFonts w:cs="Arial"/>
          <w:szCs w:val="24"/>
        </w:rPr>
      </w:pPr>
    </w:p>
    <w:p w:rsidR="00D54E9B" w:rsidRPr="00E06251" w:rsidRDefault="00D54E9B" w:rsidP="00545E5A">
      <w:pPr>
        <w:spacing w:line="240" w:lineRule="auto"/>
        <w:rPr>
          <w:rFonts w:cs="Arial"/>
          <w:szCs w:val="24"/>
        </w:rPr>
      </w:pPr>
      <w:r w:rsidRPr="00E06251">
        <w:rPr>
          <w:rFonts w:cs="Arial"/>
          <w:szCs w:val="24"/>
        </w:rPr>
        <w:t xml:space="preserve">Jedná se o standardně využitelný mechanismus činnosti ÚP ČR nevyžadující nároky na alokaci finančních prostředků. Mobilní pracoviště využívá prostor zaměstnavatele a stávajících personálních kapacit ÚP ČR. </w:t>
      </w:r>
    </w:p>
    <w:p w:rsidR="00C64810" w:rsidRPr="00545E5A" w:rsidRDefault="00C64810" w:rsidP="00545E5A">
      <w:pPr>
        <w:spacing w:line="240" w:lineRule="auto"/>
        <w:rPr>
          <w:rFonts w:cs="Arial"/>
          <w:szCs w:val="24"/>
        </w:rPr>
      </w:pPr>
    </w:p>
    <w:p w:rsidR="00C64810" w:rsidRPr="00545E5A" w:rsidRDefault="00C64810" w:rsidP="00545E5A">
      <w:pPr>
        <w:pStyle w:val="Odstavecseseznamem"/>
        <w:numPr>
          <w:ilvl w:val="0"/>
          <w:numId w:val="7"/>
        </w:numPr>
        <w:spacing w:line="240" w:lineRule="auto"/>
        <w:rPr>
          <w:rFonts w:cs="Arial"/>
          <w:i/>
          <w:szCs w:val="24"/>
        </w:rPr>
      </w:pPr>
      <w:r w:rsidRPr="00545E5A">
        <w:rPr>
          <w:rFonts w:cs="Arial"/>
          <w:i/>
          <w:szCs w:val="24"/>
        </w:rPr>
        <w:t>Rekvalifikace</w:t>
      </w:r>
    </w:p>
    <w:p w:rsidR="00C64810" w:rsidRDefault="00C64810" w:rsidP="00545E5A">
      <w:pPr>
        <w:spacing w:line="240" w:lineRule="auto"/>
        <w:rPr>
          <w:rFonts w:cs="Arial"/>
          <w:szCs w:val="24"/>
        </w:rPr>
      </w:pPr>
      <w:r w:rsidRPr="00545E5A">
        <w:rPr>
          <w:rFonts w:cs="Arial"/>
          <w:szCs w:val="24"/>
        </w:rPr>
        <w:t xml:space="preserve">Na základě analýzy nabídky a poptávky na trhu práce v </w:t>
      </w:r>
      <w:r w:rsidR="00D12769">
        <w:rPr>
          <w:rFonts w:cs="Arial"/>
          <w:szCs w:val="24"/>
        </w:rPr>
        <w:t>ULK</w:t>
      </w:r>
      <w:r w:rsidRPr="00545E5A">
        <w:rPr>
          <w:rFonts w:cs="Arial"/>
          <w:szCs w:val="24"/>
        </w:rPr>
        <w:t xml:space="preserve"> budou specifikovány obory vhodné pro rekvalifikaci propuštěných zaměstnanců, tedy takové obory, po nichž existuje v regionu poptávka a v nichž bude možné v maximální míře využít stávající kvalifikaci prop</w:t>
      </w:r>
      <w:r w:rsidR="00BA252A" w:rsidRPr="00545E5A">
        <w:rPr>
          <w:rFonts w:cs="Arial"/>
          <w:szCs w:val="24"/>
        </w:rPr>
        <w:t>o</w:t>
      </w:r>
      <w:r w:rsidRPr="00545E5A">
        <w:rPr>
          <w:rFonts w:cs="Arial"/>
          <w:szCs w:val="24"/>
        </w:rPr>
        <w:t>uštěných zaměstnanců.</w:t>
      </w:r>
    </w:p>
    <w:p w:rsidR="00D12769" w:rsidRPr="00545E5A" w:rsidRDefault="00D12769" w:rsidP="00545E5A">
      <w:pPr>
        <w:spacing w:line="240" w:lineRule="auto"/>
        <w:rPr>
          <w:rFonts w:cs="Arial"/>
          <w:szCs w:val="24"/>
        </w:rPr>
      </w:pPr>
    </w:p>
    <w:p w:rsidR="00BA252A" w:rsidRPr="00545E5A" w:rsidRDefault="00BA252A" w:rsidP="00545E5A">
      <w:pPr>
        <w:pStyle w:val="Odstavecseseznamem"/>
        <w:numPr>
          <w:ilvl w:val="0"/>
          <w:numId w:val="7"/>
        </w:numPr>
        <w:spacing w:line="240" w:lineRule="auto"/>
        <w:rPr>
          <w:rFonts w:cs="Arial"/>
          <w:i/>
          <w:szCs w:val="24"/>
        </w:rPr>
      </w:pPr>
      <w:r w:rsidRPr="00545E5A">
        <w:rPr>
          <w:rFonts w:cs="Arial"/>
          <w:i/>
          <w:szCs w:val="24"/>
        </w:rPr>
        <w:lastRenderedPageBreak/>
        <w:t>Dotovaná pracovní místa</w:t>
      </w:r>
    </w:p>
    <w:p w:rsidR="00D57A7D" w:rsidRDefault="00BA252A" w:rsidP="00545E5A">
      <w:pPr>
        <w:spacing w:line="240" w:lineRule="auto"/>
        <w:rPr>
          <w:rFonts w:cs="Arial"/>
          <w:szCs w:val="24"/>
        </w:rPr>
      </w:pPr>
      <w:r w:rsidRPr="00545E5A">
        <w:rPr>
          <w:rFonts w:cs="Arial"/>
          <w:szCs w:val="24"/>
        </w:rPr>
        <w:t>V případě, kdy se nepodaří zprostředkovat zaměstnání propuštěným zaměstnancům i přes provedenou rekvalifikaci či přímým uplatnění</w:t>
      </w:r>
      <w:r w:rsidR="00D12769">
        <w:rPr>
          <w:rFonts w:cs="Arial"/>
          <w:szCs w:val="24"/>
        </w:rPr>
        <w:t>m na trhu práce, bude využito u </w:t>
      </w:r>
      <w:r w:rsidRPr="00545E5A">
        <w:rPr>
          <w:rFonts w:cs="Arial"/>
          <w:szCs w:val="24"/>
        </w:rPr>
        <w:t xml:space="preserve">znevýhodněných skupin zaměstnanců nástrojů společensky účelných pracovních míst, kdy je možné poskytnout příspěvek na vynaložené mzdové náklady. </w:t>
      </w:r>
    </w:p>
    <w:p w:rsidR="00D57A7D" w:rsidRDefault="00D57A7D" w:rsidP="00545E5A">
      <w:pPr>
        <w:spacing w:line="240" w:lineRule="auto"/>
        <w:rPr>
          <w:rFonts w:cs="Arial"/>
          <w:szCs w:val="24"/>
        </w:rPr>
      </w:pPr>
    </w:p>
    <w:p w:rsidR="00BA252A" w:rsidRDefault="00BA252A" w:rsidP="00545E5A">
      <w:pPr>
        <w:spacing w:line="240" w:lineRule="auto"/>
        <w:rPr>
          <w:rFonts w:cs="Arial"/>
          <w:szCs w:val="24"/>
        </w:rPr>
      </w:pPr>
      <w:r w:rsidRPr="00545E5A">
        <w:rPr>
          <w:rFonts w:cs="Arial"/>
          <w:szCs w:val="24"/>
        </w:rPr>
        <w:t xml:space="preserve">Zároveň </w:t>
      </w:r>
      <w:r w:rsidR="00D57A7D">
        <w:rPr>
          <w:rFonts w:cs="Arial"/>
          <w:szCs w:val="24"/>
        </w:rPr>
        <w:t>je zvažována možnost</w:t>
      </w:r>
      <w:r w:rsidRPr="00545E5A">
        <w:rPr>
          <w:rFonts w:cs="Arial"/>
          <w:szCs w:val="24"/>
        </w:rPr>
        <w:t xml:space="preserve"> realizov</w:t>
      </w:r>
      <w:r w:rsidR="00D57A7D">
        <w:rPr>
          <w:rFonts w:cs="Arial"/>
          <w:szCs w:val="24"/>
        </w:rPr>
        <w:t>at</w:t>
      </w:r>
      <w:r w:rsidRPr="00545E5A">
        <w:rPr>
          <w:rFonts w:cs="Arial"/>
          <w:szCs w:val="24"/>
        </w:rPr>
        <w:t xml:space="preserve"> </w:t>
      </w:r>
      <w:r w:rsidRPr="00545E5A">
        <w:rPr>
          <w:rFonts w:cs="Arial"/>
          <w:szCs w:val="24"/>
          <w:u w:val="single"/>
        </w:rPr>
        <w:t>nový nástroj aktivní politiky zaměstnanosti</w:t>
      </w:r>
      <w:r w:rsidRPr="00545E5A">
        <w:rPr>
          <w:rFonts w:cs="Arial"/>
          <w:szCs w:val="24"/>
        </w:rPr>
        <w:t xml:space="preserve">, který byl v roce 2014 </w:t>
      </w:r>
      <w:proofErr w:type="spellStart"/>
      <w:r w:rsidRPr="00545E5A">
        <w:rPr>
          <w:rFonts w:cs="Arial"/>
          <w:szCs w:val="24"/>
        </w:rPr>
        <w:t>pilotně</w:t>
      </w:r>
      <w:proofErr w:type="spellEnd"/>
      <w:r w:rsidRPr="00545E5A">
        <w:rPr>
          <w:rFonts w:cs="Arial"/>
          <w:szCs w:val="24"/>
        </w:rPr>
        <w:t xml:space="preserve"> testován v Moravskoslezském kraji</w:t>
      </w:r>
      <w:r w:rsidR="00D57A7D">
        <w:rPr>
          <w:rFonts w:cs="Arial"/>
          <w:szCs w:val="24"/>
        </w:rPr>
        <w:t>,</w:t>
      </w:r>
      <w:r w:rsidRPr="00545E5A">
        <w:rPr>
          <w:rFonts w:cs="Arial"/>
          <w:szCs w:val="24"/>
        </w:rPr>
        <w:t xml:space="preserve"> v jehož rámci je možné poskytnout finanční příspěvek zaměstnavateli, který přijme</w:t>
      </w:r>
      <w:r w:rsidR="00D4612E">
        <w:rPr>
          <w:rFonts w:cs="Arial"/>
          <w:szCs w:val="24"/>
        </w:rPr>
        <w:t xml:space="preserve"> do pracovního poměru zájemce o </w:t>
      </w:r>
      <w:r w:rsidRPr="00545E5A">
        <w:rPr>
          <w:rFonts w:cs="Arial"/>
          <w:szCs w:val="24"/>
        </w:rPr>
        <w:t>zaměstnání, který je u svého stávajícího zaměstnavatele ohrožen ztrátou zaměstnání (s podmínkou oznámení hromad</w:t>
      </w:r>
      <w:r w:rsidR="00D4612E">
        <w:rPr>
          <w:rFonts w:cs="Arial"/>
          <w:szCs w:val="24"/>
        </w:rPr>
        <w:t>ného propuštění podle zákona č. </w:t>
      </w:r>
      <w:r w:rsidRPr="00545E5A">
        <w:rPr>
          <w:rFonts w:cs="Arial"/>
          <w:szCs w:val="24"/>
        </w:rPr>
        <w:t>262/2006 Sb., zákoníku práce, ve znění pozdějších předpisů).</w:t>
      </w:r>
    </w:p>
    <w:p w:rsidR="00D57A7D" w:rsidRDefault="00D57A7D" w:rsidP="00545E5A">
      <w:pPr>
        <w:spacing w:line="240" w:lineRule="auto"/>
        <w:rPr>
          <w:rFonts w:cs="Arial"/>
          <w:szCs w:val="24"/>
        </w:rPr>
      </w:pPr>
    </w:p>
    <w:p w:rsidR="00D4612E" w:rsidRPr="00545E5A" w:rsidRDefault="00D57A7D" w:rsidP="00545E5A">
      <w:pPr>
        <w:spacing w:line="240" w:lineRule="auto"/>
        <w:rPr>
          <w:rFonts w:cs="Arial"/>
          <w:szCs w:val="24"/>
        </w:rPr>
      </w:pPr>
      <w:r>
        <w:rPr>
          <w:rFonts w:cs="Arial"/>
          <w:szCs w:val="24"/>
        </w:rPr>
        <w:t xml:space="preserve">Prvky cíleného programu budou součástí regionálního individuálního projektu připravovaného v rámci výzvy č. 44 pro IP 1.3 OP Z. </w:t>
      </w:r>
      <w:r>
        <w:rPr>
          <w:rFonts w:cs="Arial"/>
          <w:b/>
          <w:szCs w:val="24"/>
        </w:rPr>
        <w:t xml:space="preserve">Projektový záměr je předpokládán v částce 150 mil. Kč s objemem cílové skupiny 1 400 osob. Projektový záměr by tak měl pokrývat výraznou část propuštěných zaměstnanců. </w:t>
      </w:r>
      <w:r>
        <w:rPr>
          <w:rFonts w:cs="Arial"/>
          <w:szCs w:val="24"/>
        </w:rPr>
        <w:t xml:space="preserve">Projekt prochází v současné době interních schvalovacím procesem na MPSV. </w:t>
      </w:r>
    </w:p>
    <w:p w:rsidR="00BA252A" w:rsidRPr="00545E5A" w:rsidRDefault="00BA252A" w:rsidP="00545E5A">
      <w:pPr>
        <w:spacing w:line="240" w:lineRule="auto"/>
        <w:rPr>
          <w:rFonts w:cs="Arial"/>
          <w:szCs w:val="24"/>
        </w:rPr>
      </w:pPr>
    </w:p>
    <w:p w:rsidR="00C43F2E" w:rsidRPr="00545E5A" w:rsidRDefault="00C43F2E" w:rsidP="00545E5A">
      <w:pPr>
        <w:pStyle w:val="Odstavecseseznamem"/>
        <w:numPr>
          <w:ilvl w:val="0"/>
          <w:numId w:val="7"/>
        </w:numPr>
        <w:spacing w:line="240" w:lineRule="auto"/>
        <w:rPr>
          <w:rFonts w:cs="Arial"/>
          <w:b/>
          <w:szCs w:val="24"/>
          <w:u w:val="single"/>
        </w:rPr>
      </w:pPr>
      <w:r w:rsidRPr="00545E5A">
        <w:rPr>
          <w:rFonts w:cs="Arial"/>
          <w:b/>
          <w:szCs w:val="24"/>
          <w:u w:val="single"/>
        </w:rPr>
        <w:t>Podpora regionální mobility</w:t>
      </w:r>
      <w:r w:rsidR="00096B45" w:rsidRPr="00545E5A">
        <w:rPr>
          <w:rFonts w:cs="Arial"/>
          <w:b/>
          <w:szCs w:val="24"/>
          <w:u w:val="single"/>
        </w:rPr>
        <w:t xml:space="preserve"> (S3)</w:t>
      </w:r>
    </w:p>
    <w:p w:rsidR="00947AB7" w:rsidRPr="00545E5A" w:rsidRDefault="00947AB7" w:rsidP="00545E5A">
      <w:pPr>
        <w:spacing w:line="240" w:lineRule="auto"/>
        <w:rPr>
          <w:rFonts w:cs="Arial"/>
          <w:b/>
          <w:szCs w:val="24"/>
          <w:u w:val="single"/>
        </w:rPr>
      </w:pPr>
    </w:p>
    <w:p w:rsidR="00C43F2E" w:rsidRDefault="00C43F2E" w:rsidP="00545E5A">
      <w:pPr>
        <w:spacing w:line="240" w:lineRule="auto"/>
        <w:rPr>
          <w:rFonts w:cs="Arial"/>
          <w:szCs w:val="24"/>
        </w:rPr>
      </w:pPr>
      <w:r w:rsidRPr="00545E5A">
        <w:rPr>
          <w:rFonts w:cs="Arial"/>
          <w:szCs w:val="24"/>
        </w:rPr>
        <w:t xml:space="preserve">Od dubna 2016 </w:t>
      </w:r>
      <w:r w:rsidR="00D4612E">
        <w:rPr>
          <w:rFonts w:cs="Arial"/>
          <w:szCs w:val="24"/>
        </w:rPr>
        <w:t>je</w:t>
      </w:r>
      <w:r w:rsidRPr="00545E5A">
        <w:rPr>
          <w:rFonts w:cs="Arial"/>
          <w:szCs w:val="24"/>
        </w:rPr>
        <w:t xml:space="preserve"> v Ústeckém kraji (vedle Karlovarského, Jihomoravského, Olomouckého a Moravskoslezského</w:t>
      </w:r>
      <w:r w:rsidR="00E06251" w:rsidRPr="00E06251">
        <w:rPr>
          <w:rFonts w:cs="Arial"/>
          <w:szCs w:val="24"/>
        </w:rPr>
        <w:t xml:space="preserve"> </w:t>
      </w:r>
      <w:r w:rsidR="00E06251" w:rsidRPr="00545E5A">
        <w:rPr>
          <w:rFonts w:cs="Arial"/>
          <w:szCs w:val="24"/>
        </w:rPr>
        <w:t>kraje</w:t>
      </w:r>
      <w:r w:rsidRPr="00545E5A">
        <w:rPr>
          <w:rFonts w:cs="Arial"/>
          <w:szCs w:val="24"/>
        </w:rPr>
        <w:t xml:space="preserve">) </w:t>
      </w:r>
      <w:proofErr w:type="spellStart"/>
      <w:r w:rsidRPr="00545E5A">
        <w:rPr>
          <w:rFonts w:cs="Arial"/>
          <w:szCs w:val="24"/>
        </w:rPr>
        <w:t>pilotně</w:t>
      </w:r>
      <w:proofErr w:type="spellEnd"/>
      <w:r w:rsidRPr="00545E5A">
        <w:rPr>
          <w:rFonts w:cs="Arial"/>
          <w:szCs w:val="24"/>
        </w:rPr>
        <w:t xml:space="preserve"> ověřován nový nástroj aktivní politiky zaměstnanosti – příspěvek na podporu regionální mobility. </w:t>
      </w:r>
      <w:r w:rsidR="001C68F0">
        <w:rPr>
          <w:rFonts w:cs="Arial"/>
          <w:szCs w:val="24"/>
        </w:rPr>
        <w:t xml:space="preserve">V červnu byly na základě dosavadních zkušeností s realizací příspěvku upraveny některé parametry jeho poskytování a rovněž jeho působnost rozšířena o </w:t>
      </w:r>
      <w:proofErr w:type="spellStart"/>
      <w:r w:rsidR="001C68F0">
        <w:rPr>
          <w:rFonts w:cs="Arial"/>
          <w:szCs w:val="24"/>
        </w:rPr>
        <w:t>Královehradecký</w:t>
      </w:r>
      <w:proofErr w:type="spellEnd"/>
      <w:r w:rsidR="001C68F0">
        <w:rPr>
          <w:rFonts w:cs="Arial"/>
          <w:szCs w:val="24"/>
        </w:rPr>
        <w:t xml:space="preserve"> kraj. </w:t>
      </w:r>
      <w:r w:rsidRPr="00545E5A">
        <w:rPr>
          <w:rFonts w:cs="Arial"/>
          <w:szCs w:val="24"/>
        </w:rPr>
        <w:t xml:space="preserve"> </w:t>
      </w:r>
      <w:r w:rsidR="001C68F0">
        <w:rPr>
          <w:rFonts w:cs="Arial"/>
          <w:szCs w:val="24"/>
        </w:rPr>
        <w:t>P</w:t>
      </w:r>
      <w:r w:rsidRPr="00545E5A">
        <w:rPr>
          <w:rFonts w:cs="Arial"/>
          <w:szCs w:val="24"/>
        </w:rPr>
        <w:t>říspěvek může obdržet:</w:t>
      </w:r>
    </w:p>
    <w:p w:rsidR="00D4612E" w:rsidRPr="00545E5A" w:rsidRDefault="00D4612E" w:rsidP="00545E5A">
      <w:pPr>
        <w:spacing w:line="240" w:lineRule="auto"/>
        <w:rPr>
          <w:rFonts w:cs="Arial"/>
          <w:szCs w:val="24"/>
        </w:rPr>
      </w:pPr>
    </w:p>
    <w:p w:rsidR="001C68F0" w:rsidRPr="00A35E70" w:rsidRDefault="001C68F0" w:rsidP="001C68F0">
      <w:pPr>
        <w:numPr>
          <w:ilvl w:val="0"/>
          <w:numId w:val="8"/>
        </w:numPr>
        <w:spacing w:line="240" w:lineRule="auto"/>
        <w:ind w:right="57"/>
        <w:rPr>
          <w:rFonts w:cs="Arial"/>
        </w:rPr>
      </w:pPr>
      <w:r w:rsidRPr="00A35E70">
        <w:rPr>
          <w:rFonts w:cs="Arial"/>
        </w:rPr>
        <w:t xml:space="preserve">uchazeč o zaměstnání </w:t>
      </w:r>
      <w:r>
        <w:rPr>
          <w:rFonts w:cs="Arial"/>
        </w:rPr>
        <w:t xml:space="preserve">vedený v evidenci </w:t>
      </w:r>
      <w:r w:rsidRPr="00A35E70">
        <w:rPr>
          <w:rFonts w:cs="Arial"/>
        </w:rPr>
        <w:t>uchazeč</w:t>
      </w:r>
      <w:r>
        <w:rPr>
          <w:rFonts w:cs="Arial"/>
        </w:rPr>
        <w:t>ů</w:t>
      </w:r>
      <w:r w:rsidRPr="00A35E70">
        <w:rPr>
          <w:rFonts w:cs="Arial"/>
        </w:rPr>
        <w:t xml:space="preserve"> o zaměstnání</w:t>
      </w:r>
      <w:r>
        <w:rPr>
          <w:rFonts w:cs="Arial"/>
        </w:rPr>
        <w:t xml:space="preserve"> nepřetržitě</w:t>
      </w:r>
      <w:r w:rsidRPr="00A35E70">
        <w:rPr>
          <w:rFonts w:cs="Arial"/>
        </w:rPr>
        <w:t xml:space="preserve"> déle než 5 měsíců, nebo </w:t>
      </w:r>
    </w:p>
    <w:p w:rsidR="001C68F0" w:rsidRPr="009375E4" w:rsidRDefault="001C68F0" w:rsidP="001C68F0">
      <w:pPr>
        <w:pStyle w:val="Odstavecseseznamem"/>
        <w:numPr>
          <w:ilvl w:val="0"/>
          <w:numId w:val="8"/>
        </w:numPr>
        <w:spacing w:before="120" w:after="200" w:line="240" w:lineRule="auto"/>
        <w:ind w:right="57"/>
        <w:contextualSpacing w:val="0"/>
        <w:rPr>
          <w:rFonts w:cs="Arial"/>
          <w:szCs w:val="24"/>
        </w:rPr>
      </w:pPr>
      <w:r w:rsidRPr="002762FE">
        <w:rPr>
          <w:rFonts w:cs="Arial"/>
        </w:rPr>
        <w:t xml:space="preserve">uchazeč o zaměstnání, jemuž na základě rozboru situace na místním trhu práce, zejména s přihlédnutím k dlouhodobým trendům v oblasti požadavků na volná pracovní místa, nebude možné s ohledem na jeho kvalifikaci, dosavadní praxi, věk, péči o dítě, zdravotní </w:t>
      </w:r>
      <w:r>
        <w:rPr>
          <w:rFonts w:cs="Arial"/>
        </w:rPr>
        <w:t xml:space="preserve">stav </w:t>
      </w:r>
      <w:r w:rsidRPr="002762FE">
        <w:rPr>
          <w:rFonts w:cs="Arial"/>
        </w:rPr>
        <w:t>zprostředkovat zaměstnání v</w:t>
      </w:r>
      <w:r w:rsidR="00E06251">
        <w:rPr>
          <w:rFonts w:cs="Arial"/>
        </w:rPr>
        <w:t> </w:t>
      </w:r>
      <w:r w:rsidRPr="002762FE">
        <w:rPr>
          <w:rFonts w:cs="Arial"/>
        </w:rPr>
        <w:t>místě jeho bydliště, nebo</w:t>
      </w:r>
    </w:p>
    <w:p w:rsidR="001C68F0" w:rsidRPr="00A35E70" w:rsidRDefault="001C68F0" w:rsidP="001C68F0">
      <w:pPr>
        <w:numPr>
          <w:ilvl w:val="0"/>
          <w:numId w:val="8"/>
        </w:numPr>
        <w:spacing w:before="120" w:after="200" w:line="240" w:lineRule="auto"/>
        <w:ind w:right="57"/>
        <w:rPr>
          <w:rFonts w:cs="Arial"/>
        </w:rPr>
      </w:pPr>
      <w:r w:rsidRPr="00A35E70">
        <w:rPr>
          <w:rFonts w:cs="Arial"/>
        </w:rPr>
        <w:t xml:space="preserve">uchazeč o zaměstnání, u kterého došlo před </w:t>
      </w:r>
      <w:r>
        <w:rPr>
          <w:rFonts w:cs="Arial"/>
        </w:rPr>
        <w:t xml:space="preserve">zařazením </w:t>
      </w:r>
      <w:r w:rsidRPr="00A35E70">
        <w:rPr>
          <w:rFonts w:cs="Arial"/>
        </w:rPr>
        <w:t xml:space="preserve">do evidence uchazečů o zaměstnání k rozvázání pracovního poměru v důsledku hromadného propouštění zaměstnanců oznámeného ÚP ČR zaměstnavatelem podle § 62 zákona č. 262/2006 Sb., zákoník práce, </w:t>
      </w:r>
      <w:r>
        <w:rPr>
          <w:rFonts w:cs="Arial"/>
        </w:rPr>
        <w:br/>
      </w:r>
      <w:r w:rsidRPr="00A35E70">
        <w:rPr>
          <w:rFonts w:cs="Arial"/>
        </w:rPr>
        <w:t>ve znění pozdějších předpisů, nebo</w:t>
      </w:r>
    </w:p>
    <w:p w:rsidR="001C68F0" w:rsidRPr="00A35E70" w:rsidRDefault="001C68F0" w:rsidP="001C68F0">
      <w:pPr>
        <w:numPr>
          <w:ilvl w:val="0"/>
          <w:numId w:val="8"/>
        </w:numPr>
        <w:spacing w:line="240" w:lineRule="auto"/>
        <w:outlineLvl w:val="0"/>
        <w:rPr>
          <w:rFonts w:cs="Arial"/>
        </w:rPr>
      </w:pPr>
      <w:r w:rsidRPr="00A35E70">
        <w:rPr>
          <w:rFonts w:cs="Arial"/>
          <w:bCs/>
        </w:rPr>
        <w:t xml:space="preserve">zájemce o zaměstnání </w:t>
      </w:r>
      <w:r>
        <w:rPr>
          <w:rFonts w:cs="Arial"/>
          <w:bCs/>
        </w:rPr>
        <w:t>vedený v evidenci zájemců o zaměstnání</w:t>
      </w:r>
      <w:r w:rsidRPr="00A35E70">
        <w:rPr>
          <w:rFonts w:cs="Arial"/>
          <w:bCs/>
        </w:rPr>
        <w:t xml:space="preserve">, </w:t>
      </w:r>
      <w:r>
        <w:rPr>
          <w:rFonts w:cs="Arial"/>
          <w:bCs/>
        </w:rPr>
        <w:br/>
      </w:r>
      <w:r w:rsidRPr="00A35E70">
        <w:rPr>
          <w:rFonts w:cs="Arial"/>
          <w:bCs/>
        </w:rPr>
        <w:t>na něhož se vztahuje hromadné propuštění zaměstnanců oznámené ÚP ČR podle § 62 zákona č. 262/2006 Sb., zákoník práce, ve znění pozdějších předpisů.</w:t>
      </w:r>
    </w:p>
    <w:p w:rsidR="00C43F2E" w:rsidRPr="00545E5A" w:rsidRDefault="00C43F2E" w:rsidP="00545E5A">
      <w:pPr>
        <w:spacing w:line="240" w:lineRule="auto"/>
        <w:rPr>
          <w:rFonts w:cs="Arial"/>
          <w:szCs w:val="24"/>
        </w:rPr>
      </w:pPr>
    </w:p>
    <w:p w:rsidR="00C43F2E" w:rsidRDefault="00C43F2E" w:rsidP="00545E5A">
      <w:pPr>
        <w:spacing w:line="240" w:lineRule="auto"/>
        <w:rPr>
          <w:rFonts w:cs="Arial"/>
          <w:szCs w:val="24"/>
        </w:rPr>
      </w:pPr>
      <w:r w:rsidRPr="00545E5A">
        <w:rPr>
          <w:rFonts w:cs="Arial"/>
          <w:szCs w:val="24"/>
        </w:rPr>
        <w:t xml:space="preserve">Příspěvek může obdržet výše uvedená osoba v případě, že nalezne pracovní uplatnění mimo obec svého trvalého bydliště a jestliže s ní zaměstnavatel uzavře </w:t>
      </w:r>
      <w:r w:rsidRPr="00545E5A">
        <w:rPr>
          <w:rFonts w:cs="Arial"/>
          <w:szCs w:val="24"/>
        </w:rPr>
        <w:lastRenderedPageBreak/>
        <w:t xml:space="preserve">pracovní smlouvu na dobu neurčitou, nebo dobu určitou s dobou trvání déle než </w:t>
      </w:r>
      <w:r w:rsidR="001C68F0">
        <w:rPr>
          <w:rFonts w:cs="Arial"/>
          <w:szCs w:val="24"/>
        </w:rPr>
        <w:t>6</w:t>
      </w:r>
      <w:r w:rsidR="00E06251">
        <w:rPr>
          <w:rFonts w:cs="Arial"/>
          <w:szCs w:val="24"/>
        </w:rPr>
        <w:t> </w:t>
      </w:r>
      <w:r w:rsidRPr="00545E5A">
        <w:rPr>
          <w:rFonts w:cs="Arial"/>
          <w:szCs w:val="24"/>
        </w:rPr>
        <w:t xml:space="preserve">měsíců. Příspěvek se poskytuje paušálně, podpořená osoba dokládá pouze doklady prokazující přítomnost na pracovišti a výši odměny za práci (výplatní lístek). Příspěvek není poskytován v případě, že odměna za práci v daném měsíci přesáhne výši </w:t>
      </w:r>
      <w:r w:rsidR="001C68F0">
        <w:rPr>
          <w:rFonts w:cs="Arial"/>
          <w:szCs w:val="24"/>
        </w:rPr>
        <w:t xml:space="preserve">1,5 násobku </w:t>
      </w:r>
      <w:r w:rsidRPr="00545E5A">
        <w:rPr>
          <w:rFonts w:cs="Arial"/>
          <w:szCs w:val="24"/>
        </w:rPr>
        <w:t xml:space="preserve">průměrné mzdy v národním hospodářství za 1. až 3. kvartál předcházejícího roku. Příspěvek </w:t>
      </w:r>
      <w:r w:rsidR="00DE7D82">
        <w:rPr>
          <w:rFonts w:cs="Arial"/>
          <w:szCs w:val="24"/>
        </w:rPr>
        <w:t>je</w:t>
      </w:r>
      <w:r w:rsidR="00DE7D82" w:rsidRPr="00545E5A">
        <w:rPr>
          <w:rFonts w:cs="Arial"/>
          <w:szCs w:val="24"/>
        </w:rPr>
        <w:t xml:space="preserve"> </w:t>
      </w:r>
      <w:r w:rsidRPr="00545E5A">
        <w:rPr>
          <w:rFonts w:cs="Arial"/>
          <w:szCs w:val="24"/>
        </w:rPr>
        <w:t>poskytován až po dobu 12 měsíců a to ve výši závislé na dojezdové vzdálenosti:</w:t>
      </w:r>
    </w:p>
    <w:p w:rsidR="00D4612E" w:rsidRPr="00545E5A" w:rsidRDefault="00D4612E" w:rsidP="00545E5A">
      <w:pPr>
        <w:spacing w:line="240" w:lineRule="auto"/>
        <w:rPr>
          <w:rFonts w:cs="Arial"/>
          <w:szCs w:val="24"/>
        </w:rPr>
      </w:pPr>
    </w:p>
    <w:p w:rsidR="00C43F2E" w:rsidRPr="00545E5A" w:rsidRDefault="00C43F2E" w:rsidP="00545E5A">
      <w:pPr>
        <w:pStyle w:val="Odstavecseseznamem"/>
        <w:numPr>
          <w:ilvl w:val="0"/>
          <w:numId w:val="9"/>
        </w:numPr>
        <w:spacing w:line="240" w:lineRule="auto"/>
        <w:rPr>
          <w:rFonts w:cs="Arial"/>
          <w:szCs w:val="24"/>
        </w:rPr>
      </w:pPr>
      <w:r w:rsidRPr="00545E5A">
        <w:rPr>
          <w:rFonts w:cs="Arial"/>
          <w:szCs w:val="24"/>
        </w:rPr>
        <w:t>do 10 km: v případě prokazatelné neexistence dopravního spojení 1 000 Kč/měsíc</w:t>
      </w:r>
      <w:r w:rsidR="00E06251">
        <w:rPr>
          <w:rFonts w:cs="Arial"/>
          <w:szCs w:val="24"/>
        </w:rPr>
        <w:t>;</w:t>
      </w:r>
    </w:p>
    <w:p w:rsidR="00C43F2E" w:rsidRPr="00545E5A" w:rsidRDefault="00C43F2E" w:rsidP="00545E5A">
      <w:pPr>
        <w:pStyle w:val="Odstavecseseznamem"/>
        <w:numPr>
          <w:ilvl w:val="0"/>
          <w:numId w:val="9"/>
        </w:numPr>
        <w:spacing w:line="240" w:lineRule="auto"/>
        <w:rPr>
          <w:rFonts w:cs="Arial"/>
          <w:szCs w:val="24"/>
        </w:rPr>
      </w:pPr>
      <w:r w:rsidRPr="00545E5A">
        <w:rPr>
          <w:rFonts w:cs="Arial"/>
          <w:szCs w:val="24"/>
        </w:rPr>
        <w:t>10 – 2</w:t>
      </w:r>
      <w:r w:rsidR="00C45897">
        <w:rPr>
          <w:rFonts w:cs="Arial"/>
          <w:szCs w:val="24"/>
        </w:rPr>
        <w:t>4</w:t>
      </w:r>
      <w:r w:rsidRPr="00545E5A">
        <w:rPr>
          <w:rFonts w:cs="Arial"/>
          <w:szCs w:val="24"/>
        </w:rPr>
        <w:t xml:space="preserve"> km: 1 500 Kč/měsíc</w:t>
      </w:r>
      <w:r w:rsidR="00E06251">
        <w:rPr>
          <w:rFonts w:cs="Arial"/>
          <w:szCs w:val="24"/>
        </w:rPr>
        <w:t>;</w:t>
      </w:r>
    </w:p>
    <w:p w:rsidR="00C43F2E" w:rsidRPr="00545E5A" w:rsidRDefault="00C43F2E" w:rsidP="00545E5A">
      <w:pPr>
        <w:pStyle w:val="Odstavecseseznamem"/>
        <w:numPr>
          <w:ilvl w:val="0"/>
          <w:numId w:val="9"/>
        </w:numPr>
        <w:spacing w:line="240" w:lineRule="auto"/>
        <w:rPr>
          <w:rFonts w:cs="Arial"/>
          <w:szCs w:val="24"/>
        </w:rPr>
      </w:pPr>
      <w:r w:rsidRPr="00545E5A">
        <w:rPr>
          <w:rFonts w:cs="Arial"/>
          <w:szCs w:val="24"/>
        </w:rPr>
        <w:t>25 – 50 km: 2 500 Kč/měsíc</w:t>
      </w:r>
      <w:r w:rsidR="00E06251">
        <w:rPr>
          <w:rFonts w:cs="Arial"/>
          <w:szCs w:val="24"/>
        </w:rPr>
        <w:t>;</w:t>
      </w:r>
    </w:p>
    <w:p w:rsidR="00C43F2E" w:rsidRPr="00545E5A" w:rsidRDefault="00C43F2E" w:rsidP="00545E5A">
      <w:pPr>
        <w:pStyle w:val="Odstavecseseznamem"/>
        <w:numPr>
          <w:ilvl w:val="0"/>
          <w:numId w:val="9"/>
        </w:numPr>
        <w:spacing w:line="240" w:lineRule="auto"/>
        <w:rPr>
          <w:rFonts w:cs="Arial"/>
          <w:szCs w:val="24"/>
        </w:rPr>
      </w:pPr>
      <w:r w:rsidRPr="00545E5A">
        <w:rPr>
          <w:rFonts w:cs="Arial"/>
          <w:szCs w:val="24"/>
        </w:rPr>
        <w:t>nad 50 km: 3 500 Kč/měsíc</w:t>
      </w:r>
      <w:r w:rsidR="00E06251">
        <w:rPr>
          <w:rFonts w:cs="Arial"/>
          <w:szCs w:val="24"/>
        </w:rPr>
        <w:t>.</w:t>
      </w:r>
    </w:p>
    <w:p w:rsidR="00947AB7" w:rsidRPr="00545E5A" w:rsidRDefault="00947AB7" w:rsidP="00545E5A">
      <w:pPr>
        <w:spacing w:line="240" w:lineRule="auto"/>
        <w:rPr>
          <w:rFonts w:cs="Arial"/>
          <w:szCs w:val="24"/>
        </w:rPr>
      </w:pPr>
    </w:p>
    <w:p w:rsidR="00947AB7" w:rsidRPr="00D12769" w:rsidRDefault="00947AB7" w:rsidP="00545E5A">
      <w:pPr>
        <w:spacing w:line="240" w:lineRule="auto"/>
        <w:rPr>
          <w:rFonts w:cs="Arial"/>
          <w:b/>
          <w:szCs w:val="24"/>
        </w:rPr>
      </w:pPr>
      <w:r w:rsidRPr="00545E5A">
        <w:rPr>
          <w:rFonts w:cs="Arial"/>
          <w:szCs w:val="24"/>
        </w:rPr>
        <w:t>Opatření je financováno v rámci finančních prostředků státního rozpočtu určených na realizaci aktivní politiky zaměstnanosti.</w:t>
      </w:r>
      <w:r w:rsidR="00D12769">
        <w:rPr>
          <w:rFonts w:cs="Arial"/>
          <w:szCs w:val="24"/>
        </w:rPr>
        <w:t xml:space="preserve"> </w:t>
      </w:r>
      <w:r w:rsidR="00DE7D82">
        <w:rPr>
          <w:rFonts w:cs="Arial"/>
          <w:b/>
          <w:szCs w:val="24"/>
        </w:rPr>
        <w:t>MPSV zároveň v současné době analyzuje možnosti rozšířit podporu regionální mobility o podporu trvalejšího přestěhování za prací.</w:t>
      </w:r>
    </w:p>
    <w:p w:rsidR="00D12769" w:rsidRDefault="00D12769" w:rsidP="00545E5A">
      <w:pPr>
        <w:spacing w:line="240" w:lineRule="auto"/>
        <w:rPr>
          <w:rFonts w:cs="Arial"/>
          <w:szCs w:val="24"/>
        </w:rPr>
      </w:pPr>
    </w:p>
    <w:p w:rsidR="00D12769" w:rsidRPr="00545E5A" w:rsidRDefault="00D12769" w:rsidP="00545E5A">
      <w:pPr>
        <w:spacing w:line="240" w:lineRule="auto"/>
        <w:rPr>
          <w:rFonts w:cs="Arial"/>
          <w:szCs w:val="24"/>
        </w:rPr>
      </w:pPr>
    </w:p>
    <w:p w:rsidR="00947AB7" w:rsidRPr="00545E5A" w:rsidRDefault="00947AB7" w:rsidP="00545E5A">
      <w:pPr>
        <w:pStyle w:val="Odstavecseseznamem"/>
        <w:numPr>
          <w:ilvl w:val="0"/>
          <w:numId w:val="7"/>
        </w:numPr>
        <w:spacing w:line="240" w:lineRule="auto"/>
        <w:rPr>
          <w:rFonts w:cs="Arial"/>
          <w:b/>
          <w:szCs w:val="24"/>
          <w:u w:val="single"/>
        </w:rPr>
      </w:pPr>
      <w:r w:rsidRPr="00545E5A">
        <w:rPr>
          <w:rFonts w:cs="Arial"/>
          <w:b/>
          <w:szCs w:val="24"/>
          <w:u w:val="single"/>
        </w:rPr>
        <w:t>Možnosti aktivní politiky zaměstnanosti</w:t>
      </w:r>
      <w:r w:rsidR="00096B45" w:rsidRPr="00545E5A">
        <w:rPr>
          <w:rFonts w:cs="Arial"/>
          <w:b/>
          <w:szCs w:val="24"/>
          <w:u w:val="single"/>
        </w:rPr>
        <w:t xml:space="preserve"> (S4)</w:t>
      </w:r>
    </w:p>
    <w:p w:rsidR="00947AB7" w:rsidRPr="00545E5A" w:rsidRDefault="00947AB7" w:rsidP="00545E5A">
      <w:pPr>
        <w:spacing w:line="240" w:lineRule="auto"/>
        <w:rPr>
          <w:rFonts w:cs="Arial"/>
          <w:szCs w:val="24"/>
        </w:rPr>
      </w:pPr>
    </w:p>
    <w:p w:rsidR="0069627B" w:rsidRPr="00545E5A" w:rsidRDefault="0069627B" w:rsidP="00545E5A">
      <w:pPr>
        <w:spacing w:line="240" w:lineRule="auto"/>
        <w:rPr>
          <w:rFonts w:cs="Arial"/>
          <w:szCs w:val="24"/>
        </w:rPr>
      </w:pPr>
      <w:r w:rsidRPr="00545E5A">
        <w:rPr>
          <w:rFonts w:cs="Arial"/>
          <w:szCs w:val="24"/>
        </w:rPr>
        <w:t>Aktivní politika zaměstnanosti je financována jak z čistě národních zdrojů, tak ze zdrojů OP Zaměstnanost</w:t>
      </w:r>
      <w:r w:rsidR="00D12769">
        <w:rPr>
          <w:rFonts w:cs="Arial"/>
          <w:szCs w:val="24"/>
        </w:rPr>
        <w:t xml:space="preserve"> (dále jen „OP Z“)</w:t>
      </w:r>
      <w:r w:rsidRPr="00545E5A">
        <w:rPr>
          <w:rFonts w:cs="Arial"/>
          <w:szCs w:val="24"/>
        </w:rPr>
        <w:t>.</w:t>
      </w:r>
    </w:p>
    <w:p w:rsidR="0069627B" w:rsidRPr="00545E5A" w:rsidRDefault="0069627B" w:rsidP="00545E5A">
      <w:pPr>
        <w:spacing w:line="240" w:lineRule="auto"/>
        <w:rPr>
          <w:rFonts w:cs="Arial"/>
          <w:szCs w:val="24"/>
        </w:rPr>
      </w:pPr>
    </w:p>
    <w:p w:rsidR="0069627B" w:rsidRPr="00545E5A" w:rsidRDefault="0069627B" w:rsidP="00545E5A">
      <w:pPr>
        <w:spacing w:line="240" w:lineRule="auto"/>
        <w:rPr>
          <w:rFonts w:cs="Arial"/>
          <w:i/>
          <w:szCs w:val="24"/>
          <w:u w:val="single"/>
        </w:rPr>
      </w:pPr>
      <w:r w:rsidRPr="00545E5A">
        <w:rPr>
          <w:rFonts w:cs="Arial"/>
          <w:i/>
          <w:szCs w:val="24"/>
          <w:u w:val="single"/>
        </w:rPr>
        <w:t>V realizaci:</w:t>
      </w:r>
    </w:p>
    <w:p w:rsidR="0069627B" w:rsidRPr="00545E5A" w:rsidRDefault="0069627B" w:rsidP="00545E5A">
      <w:pPr>
        <w:spacing w:line="240" w:lineRule="auto"/>
        <w:rPr>
          <w:rFonts w:cs="Arial"/>
          <w:i/>
          <w:szCs w:val="24"/>
          <w:u w:val="single"/>
        </w:rPr>
      </w:pPr>
    </w:p>
    <w:p w:rsidR="0069627B" w:rsidRPr="00545E5A" w:rsidRDefault="0069627B" w:rsidP="00545E5A">
      <w:pPr>
        <w:spacing w:line="240" w:lineRule="auto"/>
        <w:rPr>
          <w:rFonts w:eastAsia="Times New Roman" w:cs="Arial"/>
          <w:bCs/>
          <w:szCs w:val="24"/>
          <w:lang w:eastAsia="cs-CZ"/>
        </w:rPr>
      </w:pPr>
      <w:r w:rsidRPr="00545E5A">
        <w:rPr>
          <w:rFonts w:cs="Arial"/>
          <w:szCs w:val="24"/>
        </w:rPr>
        <w:t xml:space="preserve">Pro rok 2016 disponuje ÚP ČR – </w:t>
      </w:r>
      <w:proofErr w:type="spellStart"/>
      <w:r w:rsidRPr="00545E5A">
        <w:rPr>
          <w:rFonts w:cs="Arial"/>
          <w:szCs w:val="24"/>
        </w:rPr>
        <w:t>KrP</w:t>
      </w:r>
      <w:proofErr w:type="spellEnd"/>
      <w:r w:rsidRPr="00545E5A">
        <w:rPr>
          <w:rFonts w:cs="Arial"/>
          <w:szCs w:val="24"/>
        </w:rPr>
        <w:t xml:space="preserve"> Ústí nad Labem následujícími finančními zdroji: </w:t>
      </w:r>
      <w:r w:rsidRPr="00545E5A">
        <w:rPr>
          <w:rFonts w:eastAsia="Times New Roman" w:cs="Arial"/>
          <w:b/>
          <w:bCs/>
          <w:szCs w:val="24"/>
          <w:lang w:eastAsia="cs-CZ"/>
        </w:rPr>
        <w:t>1 036 117 478 Kč</w:t>
      </w:r>
      <w:r w:rsidRPr="00545E5A">
        <w:rPr>
          <w:rFonts w:eastAsia="Times New Roman" w:cs="Arial"/>
          <w:bCs/>
          <w:szCs w:val="24"/>
          <w:lang w:eastAsia="cs-CZ"/>
        </w:rPr>
        <w:t>, v tom 903,5 mil</w:t>
      </w:r>
      <w:r w:rsidR="00D4612E">
        <w:rPr>
          <w:rFonts w:eastAsia="Times New Roman" w:cs="Arial"/>
          <w:bCs/>
          <w:szCs w:val="24"/>
          <w:lang w:eastAsia="cs-CZ"/>
        </w:rPr>
        <w:t>.</w:t>
      </w:r>
      <w:r w:rsidRPr="00545E5A">
        <w:rPr>
          <w:rFonts w:eastAsia="Times New Roman" w:cs="Arial"/>
          <w:bCs/>
          <w:szCs w:val="24"/>
          <w:lang w:eastAsia="cs-CZ"/>
        </w:rPr>
        <w:t xml:space="preserve"> Kč z prostředků OP Z určených na APZ a</w:t>
      </w:r>
      <w:r w:rsidR="00D4612E">
        <w:rPr>
          <w:rFonts w:eastAsia="Times New Roman" w:cs="Arial"/>
          <w:bCs/>
          <w:szCs w:val="24"/>
          <w:lang w:eastAsia="cs-CZ"/>
        </w:rPr>
        <w:t> </w:t>
      </w:r>
      <w:r w:rsidRPr="00545E5A">
        <w:rPr>
          <w:rFonts w:eastAsia="Times New Roman" w:cs="Arial"/>
          <w:bCs/>
          <w:szCs w:val="24"/>
          <w:lang w:eastAsia="cs-CZ"/>
        </w:rPr>
        <w:t>132,1 mil</w:t>
      </w:r>
      <w:r w:rsidR="00D4612E">
        <w:rPr>
          <w:rFonts w:eastAsia="Times New Roman" w:cs="Arial"/>
          <w:bCs/>
          <w:szCs w:val="24"/>
          <w:lang w:eastAsia="cs-CZ"/>
        </w:rPr>
        <w:t>.</w:t>
      </w:r>
      <w:r w:rsidRPr="00545E5A">
        <w:rPr>
          <w:rFonts w:eastAsia="Times New Roman" w:cs="Arial"/>
          <w:bCs/>
          <w:szCs w:val="24"/>
          <w:lang w:eastAsia="cs-CZ"/>
        </w:rPr>
        <w:t xml:space="preserve"> Kč z čistě národních zdrojů. K 29. 2. 2016 však již bylo cca 210 mil</w:t>
      </w:r>
      <w:r w:rsidR="00D4612E">
        <w:rPr>
          <w:rFonts w:eastAsia="Times New Roman" w:cs="Arial"/>
          <w:bCs/>
          <w:szCs w:val="24"/>
          <w:lang w:eastAsia="cs-CZ"/>
        </w:rPr>
        <w:t>.</w:t>
      </w:r>
      <w:r w:rsidRPr="00545E5A">
        <w:rPr>
          <w:rFonts w:eastAsia="Times New Roman" w:cs="Arial"/>
          <w:bCs/>
          <w:szCs w:val="24"/>
          <w:lang w:eastAsia="cs-CZ"/>
        </w:rPr>
        <w:t xml:space="preserve"> Kč vázáno v uzavřených dohodách. Disponibilních tedy bylo cca 826 mil</w:t>
      </w:r>
      <w:r w:rsidR="00D4612E">
        <w:rPr>
          <w:rFonts w:eastAsia="Times New Roman" w:cs="Arial"/>
          <w:bCs/>
          <w:szCs w:val="24"/>
          <w:lang w:eastAsia="cs-CZ"/>
        </w:rPr>
        <w:t>.</w:t>
      </w:r>
      <w:r w:rsidRPr="00545E5A">
        <w:rPr>
          <w:rFonts w:eastAsia="Times New Roman" w:cs="Arial"/>
          <w:bCs/>
          <w:szCs w:val="24"/>
          <w:lang w:eastAsia="cs-CZ"/>
        </w:rPr>
        <w:t xml:space="preserve"> Kč.</w:t>
      </w:r>
    </w:p>
    <w:p w:rsidR="0069627B" w:rsidRPr="00545E5A" w:rsidRDefault="0069627B" w:rsidP="00545E5A">
      <w:pPr>
        <w:spacing w:line="240" w:lineRule="auto"/>
        <w:rPr>
          <w:rFonts w:eastAsia="Times New Roman" w:cs="Arial"/>
          <w:bCs/>
          <w:szCs w:val="24"/>
          <w:lang w:eastAsia="cs-CZ"/>
        </w:rPr>
      </w:pPr>
    </w:p>
    <w:p w:rsidR="0069627B" w:rsidRPr="00545E5A" w:rsidRDefault="0069627B" w:rsidP="00545E5A">
      <w:pPr>
        <w:spacing w:line="240" w:lineRule="auto"/>
        <w:rPr>
          <w:rFonts w:eastAsia="Times New Roman" w:cs="Arial"/>
          <w:bCs/>
          <w:szCs w:val="24"/>
          <w:lang w:eastAsia="cs-CZ"/>
        </w:rPr>
      </w:pPr>
      <w:r w:rsidRPr="00545E5A">
        <w:rPr>
          <w:rFonts w:eastAsia="Times New Roman" w:cs="Arial"/>
          <w:bCs/>
          <w:szCs w:val="24"/>
          <w:lang w:eastAsia="cs-CZ"/>
        </w:rPr>
        <w:t>V březnu 2016 došlo k navýšení národních prostředků na realizaci APZ o 1 193 mil</w:t>
      </w:r>
      <w:r w:rsidR="00D4612E">
        <w:rPr>
          <w:rFonts w:eastAsia="Times New Roman" w:cs="Arial"/>
          <w:bCs/>
          <w:szCs w:val="24"/>
          <w:lang w:eastAsia="cs-CZ"/>
        </w:rPr>
        <w:t>.</w:t>
      </w:r>
      <w:r w:rsidRPr="00545E5A">
        <w:rPr>
          <w:rFonts w:eastAsia="Times New Roman" w:cs="Arial"/>
          <w:bCs/>
          <w:szCs w:val="24"/>
          <w:lang w:eastAsia="cs-CZ"/>
        </w:rPr>
        <w:t xml:space="preserve"> Kč pro celou ČR, tyto prostředky však čekají na rozdělení po j</w:t>
      </w:r>
      <w:r w:rsidR="00D10C22">
        <w:rPr>
          <w:rFonts w:eastAsia="Times New Roman" w:cs="Arial"/>
          <w:bCs/>
          <w:szCs w:val="24"/>
          <w:lang w:eastAsia="cs-CZ"/>
        </w:rPr>
        <w:t xml:space="preserve">ednotlivých krajských pobočkách, z toho </w:t>
      </w:r>
      <w:r w:rsidR="00D10C22" w:rsidRPr="00D10C22">
        <w:rPr>
          <w:rFonts w:eastAsia="Times New Roman" w:cs="Arial"/>
          <w:b/>
          <w:bCs/>
          <w:szCs w:val="24"/>
          <w:lang w:eastAsia="cs-CZ"/>
        </w:rPr>
        <w:t>aktuálně pro ULK je alokováno 100 mil. Kč.</w:t>
      </w:r>
    </w:p>
    <w:p w:rsidR="00187530" w:rsidRPr="00545E5A" w:rsidRDefault="00187530" w:rsidP="00545E5A">
      <w:pPr>
        <w:spacing w:line="240" w:lineRule="auto"/>
        <w:rPr>
          <w:rFonts w:eastAsia="Times New Roman" w:cs="Arial"/>
          <w:bCs/>
          <w:szCs w:val="24"/>
          <w:lang w:eastAsia="cs-CZ"/>
        </w:rPr>
      </w:pPr>
    </w:p>
    <w:p w:rsidR="00244020" w:rsidRDefault="00244020" w:rsidP="00545E5A">
      <w:pPr>
        <w:spacing w:line="240" w:lineRule="auto"/>
        <w:rPr>
          <w:rFonts w:eastAsia="Times New Roman" w:cs="Arial"/>
          <w:bCs/>
          <w:szCs w:val="24"/>
          <w:lang w:eastAsia="cs-CZ"/>
        </w:rPr>
      </w:pPr>
    </w:p>
    <w:p w:rsidR="00187530" w:rsidRPr="00545E5A" w:rsidRDefault="00187530" w:rsidP="00545E5A">
      <w:pPr>
        <w:spacing w:line="240" w:lineRule="auto"/>
        <w:rPr>
          <w:rFonts w:eastAsia="Times New Roman" w:cs="Arial"/>
          <w:bCs/>
          <w:szCs w:val="24"/>
          <w:lang w:eastAsia="cs-CZ"/>
        </w:rPr>
      </w:pPr>
      <w:r w:rsidRPr="00545E5A">
        <w:rPr>
          <w:rFonts w:eastAsia="Times New Roman" w:cs="Arial"/>
          <w:bCs/>
          <w:szCs w:val="24"/>
          <w:lang w:eastAsia="cs-CZ"/>
        </w:rPr>
        <w:t>Dále pak:</w:t>
      </w:r>
    </w:p>
    <w:p w:rsidR="00273F9E" w:rsidRPr="00545E5A" w:rsidRDefault="00273F9E" w:rsidP="00545E5A">
      <w:pPr>
        <w:pStyle w:val="Odstavecseseznamem"/>
        <w:numPr>
          <w:ilvl w:val="0"/>
          <w:numId w:val="12"/>
        </w:numPr>
        <w:spacing w:line="240" w:lineRule="auto"/>
        <w:rPr>
          <w:rFonts w:cs="Arial"/>
          <w:szCs w:val="24"/>
        </w:rPr>
      </w:pPr>
      <w:r w:rsidRPr="00545E5A">
        <w:rPr>
          <w:rFonts w:cs="Arial"/>
          <w:b/>
          <w:szCs w:val="24"/>
        </w:rPr>
        <w:t xml:space="preserve">projekt POVEZ II </w:t>
      </w:r>
      <w:r w:rsidRPr="00545E5A">
        <w:rPr>
          <w:rFonts w:cs="Arial"/>
          <w:szCs w:val="24"/>
        </w:rPr>
        <w:t xml:space="preserve">(podpora vzdělávání zaměstnanců) - podpora vzdělávání zaměstnanců u zaměstnavatelů, včetně refundace mzdových nákladů za dobu účasti zaměstnanců na odborném rozvoji: celkem přímá podpora na rok 2016: </w:t>
      </w:r>
      <w:r w:rsidRPr="00545E5A">
        <w:rPr>
          <w:rFonts w:cs="Arial"/>
          <w:b/>
          <w:szCs w:val="24"/>
        </w:rPr>
        <w:t>72,76 mil</w:t>
      </w:r>
      <w:r w:rsidR="00D4612E">
        <w:rPr>
          <w:rFonts w:cs="Arial"/>
          <w:b/>
          <w:szCs w:val="24"/>
        </w:rPr>
        <w:t>.</w:t>
      </w:r>
      <w:r w:rsidRPr="00545E5A">
        <w:rPr>
          <w:rFonts w:cs="Arial"/>
          <w:b/>
          <w:szCs w:val="24"/>
        </w:rPr>
        <w:t xml:space="preserve"> Kč</w:t>
      </w:r>
    </w:p>
    <w:p w:rsidR="00273F9E" w:rsidRPr="00545E5A" w:rsidRDefault="00273F9E" w:rsidP="00545E5A">
      <w:pPr>
        <w:pStyle w:val="Odstavecseseznamem"/>
        <w:numPr>
          <w:ilvl w:val="0"/>
          <w:numId w:val="12"/>
        </w:numPr>
        <w:spacing w:line="240" w:lineRule="auto"/>
        <w:rPr>
          <w:rFonts w:cs="Arial"/>
          <w:szCs w:val="24"/>
        </w:rPr>
      </w:pPr>
      <w:r w:rsidRPr="00545E5A">
        <w:rPr>
          <w:rFonts w:cs="Arial"/>
          <w:b/>
          <w:szCs w:val="24"/>
        </w:rPr>
        <w:t xml:space="preserve">projekt VDTP </w:t>
      </w:r>
      <w:r w:rsidRPr="00545E5A">
        <w:rPr>
          <w:rFonts w:cs="Arial"/>
          <w:szCs w:val="24"/>
        </w:rPr>
        <w:t xml:space="preserve">(vzdělávání a dovednosti pro trh práce) – financování rekvalifikačních kurzů a poradenských aktivit. Na rok 2016 na přímou podporu alokováno </w:t>
      </w:r>
      <w:r w:rsidRPr="00545E5A">
        <w:rPr>
          <w:rFonts w:cs="Arial"/>
          <w:b/>
          <w:szCs w:val="24"/>
        </w:rPr>
        <w:t>31,36 mil</w:t>
      </w:r>
      <w:r w:rsidR="00D4612E">
        <w:rPr>
          <w:rFonts w:cs="Arial"/>
          <w:b/>
          <w:szCs w:val="24"/>
        </w:rPr>
        <w:t>.</w:t>
      </w:r>
      <w:r w:rsidRPr="00545E5A">
        <w:rPr>
          <w:rFonts w:cs="Arial"/>
          <w:b/>
          <w:szCs w:val="24"/>
        </w:rPr>
        <w:t xml:space="preserve"> Kč</w:t>
      </w:r>
    </w:p>
    <w:p w:rsidR="0069627B" w:rsidRPr="00545E5A" w:rsidRDefault="0069627B" w:rsidP="00545E5A">
      <w:pPr>
        <w:spacing w:line="240" w:lineRule="auto"/>
        <w:rPr>
          <w:rFonts w:cs="Arial"/>
          <w:szCs w:val="24"/>
        </w:rPr>
      </w:pPr>
    </w:p>
    <w:p w:rsidR="00947AB7" w:rsidRPr="00545E5A" w:rsidRDefault="00273F9E" w:rsidP="00545E5A">
      <w:pPr>
        <w:spacing w:line="240" w:lineRule="auto"/>
        <w:rPr>
          <w:rFonts w:cs="Arial"/>
          <w:szCs w:val="24"/>
        </w:rPr>
      </w:pPr>
      <w:r w:rsidRPr="00545E5A">
        <w:rPr>
          <w:rFonts w:cs="Arial"/>
          <w:szCs w:val="24"/>
        </w:rPr>
        <w:t>Krom výše uvedených projektů budou dále realizovány regionální projekty a to:</w:t>
      </w:r>
    </w:p>
    <w:p w:rsidR="00273F9E" w:rsidRPr="00545E5A" w:rsidRDefault="00273F9E" w:rsidP="00545E5A">
      <w:pPr>
        <w:pStyle w:val="Odstavecseseznamem"/>
        <w:spacing w:line="240" w:lineRule="auto"/>
        <w:rPr>
          <w:rFonts w:cs="Arial"/>
          <w:szCs w:val="24"/>
        </w:rPr>
      </w:pPr>
    </w:p>
    <w:p w:rsidR="00273F9E" w:rsidRPr="00545E5A" w:rsidRDefault="00273F9E" w:rsidP="00545E5A">
      <w:pPr>
        <w:pStyle w:val="Odstavecseseznamem"/>
        <w:numPr>
          <w:ilvl w:val="0"/>
          <w:numId w:val="13"/>
        </w:numPr>
        <w:spacing w:line="240" w:lineRule="auto"/>
        <w:rPr>
          <w:rFonts w:cs="Arial"/>
          <w:i/>
          <w:szCs w:val="24"/>
        </w:rPr>
      </w:pPr>
      <w:r w:rsidRPr="00545E5A">
        <w:rPr>
          <w:rFonts w:cs="Arial"/>
          <w:i/>
          <w:szCs w:val="24"/>
        </w:rPr>
        <w:t xml:space="preserve">Iniciativa podpory zaměstnanosti mládeže </w:t>
      </w:r>
      <w:r w:rsidR="00D4612E">
        <w:rPr>
          <w:rFonts w:cs="Arial"/>
          <w:i/>
          <w:szCs w:val="24"/>
        </w:rPr>
        <w:t>pro region NUTS 2 Severozápad v </w:t>
      </w:r>
      <w:r w:rsidRPr="00545E5A">
        <w:rPr>
          <w:rFonts w:cs="Arial"/>
          <w:i/>
          <w:szCs w:val="24"/>
        </w:rPr>
        <w:t>Ústeckém kraji</w:t>
      </w:r>
      <w:r w:rsidRPr="00545E5A">
        <w:rPr>
          <w:rFonts w:cs="Arial"/>
          <w:szCs w:val="24"/>
        </w:rPr>
        <w:t xml:space="preserve"> s rozpočtem 497,4 mil</w:t>
      </w:r>
      <w:r w:rsidR="00D4612E">
        <w:rPr>
          <w:rFonts w:cs="Arial"/>
          <w:szCs w:val="24"/>
        </w:rPr>
        <w:t>.</w:t>
      </w:r>
      <w:r w:rsidRPr="00545E5A">
        <w:rPr>
          <w:rFonts w:cs="Arial"/>
          <w:szCs w:val="24"/>
        </w:rPr>
        <w:t xml:space="preserve"> Kč</w:t>
      </w:r>
    </w:p>
    <w:p w:rsidR="00273F9E" w:rsidRPr="00545E5A" w:rsidRDefault="00273F9E" w:rsidP="00545E5A">
      <w:pPr>
        <w:pStyle w:val="Odstavecseseznamem"/>
        <w:numPr>
          <w:ilvl w:val="0"/>
          <w:numId w:val="13"/>
        </w:numPr>
        <w:spacing w:line="240" w:lineRule="auto"/>
        <w:rPr>
          <w:rFonts w:cs="Arial"/>
          <w:i/>
          <w:szCs w:val="24"/>
        </w:rPr>
      </w:pPr>
      <w:r w:rsidRPr="00545E5A">
        <w:rPr>
          <w:rFonts w:cs="Arial"/>
          <w:i/>
          <w:szCs w:val="24"/>
        </w:rPr>
        <w:lastRenderedPageBreak/>
        <w:t>Flexibilně do práce v Ústeckém kraji</w:t>
      </w:r>
      <w:r w:rsidRPr="00545E5A">
        <w:rPr>
          <w:rFonts w:cs="Arial"/>
          <w:szCs w:val="24"/>
        </w:rPr>
        <w:t xml:space="preserve"> s rozpočtem 66 mil Kč</w:t>
      </w:r>
    </w:p>
    <w:p w:rsidR="00273F9E" w:rsidRPr="00D4612E" w:rsidRDefault="00273F9E" w:rsidP="00545E5A">
      <w:pPr>
        <w:pStyle w:val="Odstavecseseznamem"/>
        <w:numPr>
          <w:ilvl w:val="0"/>
          <w:numId w:val="13"/>
        </w:numPr>
        <w:spacing w:line="240" w:lineRule="auto"/>
        <w:rPr>
          <w:rFonts w:cs="Arial"/>
          <w:i/>
          <w:szCs w:val="24"/>
        </w:rPr>
      </w:pPr>
      <w:r w:rsidRPr="00545E5A">
        <w:rPr>
          <w:rFonts w:cs="Arial"/>
          <w:i/>
          <w:szCs w:val="24"/>
        </w:rPr>
        <w:t>Společně to dokážeme v Ústeckém kraji</w:t>
      </w:r>
      <w:r w:rsidR="00D4612E">
        <w:rPr>
          <w:rFonts w:cs="Arial"/>
          <w:szCs w:val="24"/>
        </w:rPr>
        <w:t xml:space="preserve"> s předpokládaným rozpočtem 128 </w:t>
      </w:r>
      <w:r w:rsidRPr="00545E5A">
        <w:rPr>
          <w:rFonts w:cs="Arial"/>
          <w:szCs w:val="24"/>
        </w:rPr>
        <w:t>mil</w:t>
      </w:r>
      <w:r w:rsidR="00D4612E">
        <w:rPr>
          <w:rFonts w:cs="Arial"/>
          <w:szCs w:val="24"/>
        </w:rPr>
        <w:t>.</w:t>
      </w:r>
      <w:r w:rsidRPr="00545E5A">
        <w:rPr>
          <w:rFonts w:cs="Arial"/>
          <w:szCs w:val="24"/>
        </w:rPr>
        <w:t xml:space="preserve"> Kč</w:t>
      </w:r>
    </w:p>
    <w:p w:rsidR="00D4612E" w:rsidRPr="00D4612E" w:rsidRDefault="00D4612E" w:rsidP="00D4612E">
      <w:pPr>
        <w:spacing w:line="240" w:lineRule="auto"/>
        <w:rPr>
          <w:rFonts w:cs="Arial"/>
          <w:i/>
          <w:szCs w:val="24"/>
        </w:rPr>
      </w:pPr>
    </w:p>
    <w:p w:rsidR="007C486A" w:rsidRPr="00545E5A" w:rsidRDefault="007C486A" w:rsidP="00545E5A">
      <w:pPr>
        <w:spacing w:line="240" w:lineRule="auto"/>
        <w:rPr>
          <w:rFonts w:cs="Arial"/>
          <w:szCs w:val="24"/>
        </w:rPr>
      </w:pPr>
    </w:p>
    <w:p w:rsidR="00657F6D" w:rsidRPr="00A97002" w:rsidRDefault="00657F6D" w:rsidP="00A97002">
      <w:pPr>
        <w:pStyle w:val="Odstavecseseznamem"/>
        <w:numPr>
          <w:ilvl w:val="0"/>
          <w:numId w:val="2"/>
        </w:numPr>
        <w:spacing w:after="200"/>
        <w:jc w:val="center"/>
        <w:rPr>
          <w:rFonts w:cs="Arial"/>
          <w:b/>
          <w:szCs w:val="24"/>
        </w:rPr>
      </w:pPr>
      <w:r w:rsidRPr="00A97002">
        <w:rPr>
          <w:rFonts w:cs="Arial"/>
          <w:b/>
          <w:szCs w:val="24"/>
        </w:rPr>
        <w:t>OPATŘENÍ V PŮSOBNOSTI JINÝCH RESORTŮ</w:t>
      </w:r>
    </w:p>
    <w:p w:rsidR="00657F6D" w:rsidRPr="00545E5A" w:rsidRDefault="00657F6D" w:rsidP="00545E5A">
      <w:pPr>
        <w:spacing w:line="240" w:lineRule="auto"/>
        <w:rPr>
          <w:rFonts w:cs="Arial"/>
          <w:b/>
          <w:szCs w:val="24"/>
        </w:rPr>
      </w:pPr>
    </w:p>
    <w:p w:rsidR="007C486A" w:rsidRPr="00545E5A" w:rsidRDefault="007C486A" w:rsidP="00545E5A">
      <w:pPr>
        <w:pStyle w:val="Odstavecseseznamem"/>
        <w:numPr>
          <w:ilvl w:val="0"/>
          <w:numId w:val="19"/>
        </w:numPr>
        <w:spacing w:line="240" w:lineRule="auto"/>
        <w:rPr>
          <w:rFonts w:cs="Arial"/>
          <w:b/>
          <w:szCs w:val="24"/>
        </w:rPr>
      </w:pPr>
      <w:r w:rsidRPr="00545E5A">
        <w:rPr>
          <w:rFonts w:cs="Arial"/>
          <w:b/>
          <w:szCs w:val="24"/>
        </w:rPr>
        <w:t>Nařízení vlády ke zmírnění sociálních dopadů</w:t>
      </w:r>
      <w:r w:rsidR="00096B45" w:rsidRPr="00545E5A">
        <w:rPr>
          <w:rFonts w:cs="Arial"/>
          <w:b/>
          <w:szCs w:val="24"/>
        </w:rPr>
        <w:t xml:space="preserve"> (J1)</w:t>
      </w:r>
    </w:p>
    <w:p w:rsidR="007C486A" w:rsidRPr="00545E5A" w:rsidRDefault="007C486A" w:rsidP="00545E5A">
      <w:pPr>
        <w:spacing w:line="240" w:lineRule="auto"/>
        <w:rPr>
          <w:rFonts w:cs="Arial"/>
          <w:b/>
          <w:szCs w:val="24"/>
        </w:rPr>
      </w:pPr>
    </w:p>
    <w:p w:rsidR="007C486A" w:rsidRPr="00545E5A" w:rsidRDefault="007C486A" w:rsidP="00545E5A">
      <w:pPr>
        <w:spacing w:line="240" w:lineRule="auto"/>
        <w:rPr>
          <w:rFonts w:cs="Arial"/>
          <w:szCs w:val="24"/>
        </w:rPr>
      </w:pPr>
      <w:r w:rsidRPr="00545E5A">
        <w:rPr>
          <w:rFonts w:cs="Arial"/>
          <w:szCs w:val="24"/>
        </w:rPr>
        <w:t xml:space="preserve">Ministerstvem průmyslu a obchodu byl vypracován návrh nařízení vlády </w:t>
      </w:r>
      <w:r w:rsidR="00FE4AEE" w:rsidRPr="00FE4AEE">
        <w:rPr>
          <w:rFonts w:cs="Arial"/>
          <w:szCs w:val="24"/>
        </w:rPr>
        <w:t>o příspěvku ke zmírnění sociálních dopadů souvisejících s restrukturalizací a útlumem činnosti právnických osob v insolvenci zabývajícíc</w:t>
      </w:r>
      <w:r w:rsidR="00FE4AEE">
        <w:rPr>
          <w:rFonts w:cs="Arial"/>
          <w:szCs w:val="24"/>
        </w:rPr>
        <w:t>h se těžbou černého uhlí</w:t>
      </w:r>
      <w:r w:rsidR="00E5035A">
        <w:rPr>
          <w:rFonts w:cs="Arial"/>
          <w:szCs w:val="24"/>
        </w:rPr>
        <w:t>. Toto nařízení je zpracováno v </w:t>
      </w:r>
      <w:r w:rsidRPr="00545E5A">
        <w:rPr>
          <w:rFonts w:cs="Arial"/>
          <w:szCs w:val="24"/>
        </w:rPr>
        <w:t>souladu s čl. 78 Ústavy České republiky a vydáno k prov</w:t>
      </w:r>
      <w:r w:rsidR="00D4612E">
        <w:rPr>
          <w:rFonts w:cs="Arial"/>
          <w:szCs w:val="24"/>
        </w:rPr>
        <w:t>edení zákona č. 218/2000 Sb., o </w:t>
      </w:r>
      <w:r w:rsidRPr="00545E5A">
        <w:rPr>
          <w:rFonts w:cs="Arial"/>
          <w:szCs w:val="24"/>
        </w:rPr>
        <w:t xml:space="preserve">rozpočtových pravidlech a o změně některých souvisejících zákonů (rozpočtová pravidla), ve znění pozdějších předpisů, který umožňuje jako výdaj státního rozpočtu hradit blíže nespecifikované „ostatní sociální dávky“. </w:t>
      </w:r>
    </w:p>
    <w:p w:rsidR="007C486A" w:rsidRPr="00545E5A" w:rsidRDefault="007C486A" w:rsidP="00545E5A">
      <w:pPr>
        <w:spacing w:line="240" w:lineRule="auto"/>
        <w:rPr>
          <w:rFonts w:cs="Arial"/>
          <w:szCs w:val="24"/>
        </w:rPr>
      </w:pPr>
    </w:p>
    <w:p w:rsidR="007C486A" w:rsidRDefault="00A97002" w:rsidP="00545E5A">
      <w:pPr>
        <w:spacing w:line="240" w:lineRule="auto"/>
        <w:rPr>
          <w:rFonts w:cs="Arial"/>
          <w:szCs w:val="24"/>
        </w:rPr>
      </w:pPr>
      <w:r>
        <w:rPr>
          <w:rFonts w:cs="Arial"/>
          <w:szCs w:val="24"/>
        </w:rPr>
        <w:t>J</w:t>
      </w:r>
      <w:r w:rsidR="007C486A" w:rsidRPr="00545E5A">
        <w:rPr>
          <w:rFonts w:cs="Arial"/>
          <w:szCs w:val="24"/>
        </w:rPr>
        <w:t xml:space="preserve">edná </w:t>
      </w:r>
      <w:r>
        <w:rPr>
          <w:rFonts w:cs="Arial"/>
          <w:szCs w:val="24"/>
        </w:rPr>
        <w:t xml:space="preserve">se </w:t>
      </w:r>
      <w:r w:rsidR="007C486A" w:rsidRPr="00545E5A">
        <w:rPr>
          <w:rFonts w:cs="Arial"/>
          <w:szCs w:val="24"/>
        </w:rPr>
        <w:t>o příspěvek, jenž vychází ze</w:t>
      </w:r>
      <w:r w:rsidR="00D4612E">
        <w:rPr>
          <w:rFonts w:cs="Arial"/>
          <w:szCs w:val="24"/>
        </w:rPr>
        <w:t xml:space="preserve"> stejného principu, který byl v </w:t>
      </w:r>
      <w:r w:rsidR="007C486A" w:rsidRPr="00545E5A">
        <w:rPr>
          <w:rFonts w:cs="Arial"/>
          <w:szCs w:val="24"/>
        </w:rPr>
        <w:t xml:space="preserve">minulosti použit při přípravě nařízení vlády </w:t>
      </w:r>
      <w:r w:rsidR="00D4612E">
        <w:rPr>
          <w:rFonts w:cs="Arial"/>
          <w:szCs w:val="24"/>
        </w:rPr>
        <w:t>č. 287/2001 Sb. v souvislosti s </w:t>
      </w:r>
      <w:r w:rsidR="007C486A" w:rsidRPr="00545E5A">
        <w:rPr>
          <w:rFonts w:cs="Arial"/>
          <w:szCs w:val="24"/>
        </w:rPr>
        <w:t>restrukturalizací a útlumem hnědouhelného hornictví. Obdobný princip (provedení zákona ČNR č. 576/1990 Sb., o pravidlech hospodaření s rozpočtovými prostředky České republiky a obcí v České republice /rozpočtová pravidla republiky/) byl přitom využit již při přípravě nařízení vlády č. 310/2000 Sb., o některých opatřeních souvisejících s restrukturalizací ocelářského průmyslu, jímž byly stanoveny podmínky a způsob poskytnutí příspěvku k řešení sociálních důsledků restrukturalizace zaměstnancům stanovených hutních společností.</w:t>
      </w:r>
    </w:p>
    <w:p w:rsidR="00FE4AEE" w:rsidRPr="00545E5A" w:rsidRDefault="00FE4AEE" w:rsidP="00545E5A">
      <w:pPr>
        <w:spacing w:line="240" w:lineRule="auto"/>
        <w:rPr>
          <w:rFonts w:cs="Arial"/>
          <w:szCs w:val="24"/>
        </w:rPr>
      </w:pPr>
    </w:p>
    <w:p w:rsidR="007C486A" w:rsidRPr="00545E5A" w:rsidRDefault="00FE4AEE" w:rsidP="00545E5A">
      <w:pPr>
        <w:spacing w:line="240" w:lineRule="auto"/>
        <w:rPr>
          <w:rFonts w:cs="Arial"/>
          <w:szCs w:val="24"/>
        </w:rPr>
      </w:pPr>
      <w:r w:rsidRPr="001C379A">
        <w:rPr>
          <w:rFonts w:eastAsia="Times New Roman" w:cs="Arial"/>
          <w:lang w:eastAsia="cs-CZ"/>
        </w:rPr>
        <w:t>Cílem nařízení vlády je stanovit pravidla pro poskytování příspěvku propuštěným zaměstnancům určené těžební společnosti, u které dochází ke snižování počtu zaměstnanců v důsledku restrukturalizace a útlumu její činnosti.</w:t>
      </w:r>
      <w:r w:rsidR="007C486A" w:rsidRPr="00545E5A">
        <w:rPr>
          <w:rFonts w:cs="Arial"/>
          <w:szCs w:val="24"/>
        </w:rPr>
        <w:t xml:space="preserve"> Účelem vyplácení finančního příspěvku je zmírnění nežádoucích sociálních dopadů souvisejících se ztrátou zaměstnání. Toto nařízení přitom </w:t>
      </w:r>
      <w:r w:rsidR="00041460" w:rsidRPr="00545E5A">
        <w:rPr>
          <w:rFonts w:cs="Arial"/>
          <w:szCs w:val="24"/>
        </w:rPr>
        <w:t>představ</w:t>
      </w:r>
      <w:r w:rsidR="00041460">
        <w:rPr>
          <w:rFonts w:cs="Arial"/>
          <w:szCs w:val="24"/>
        </w:rPr>
        <w:t>uje</w:t>
      </w:r>
      <w:r w:rsidR="00041460" w:rsidRPr="00545E5A">
        <w:rPr>
          <w:rFonts w:cs="Arial"/>
          <w:szCs w:val="24"/>
        </w:rPr>
        <w:t xml:space="preserve"> </w:t>
      </w:r>
      <w:r w:rsidR="007E6202">
        <w:rPr>
          <w:rFonts w:cs="Arial"/>
          <w:szCs w:val="24"/>
        </w:rPr>
        <w:t>jedno z </w:t>
      </w:r>
      <w:r w:rsidR="007C486A" w:rsidRPr="00545E5A">
        <w:rPr>
          <w:rFonts w:cs="Arial"/>
          <w:szCs w:val="24"/>
        </w:rPr>
        <w:t xml:space="preserve">možných doplňujících opatření v celém jejich komplexu, na jejichž základě </w:t>
      </w:r>
      <w:r w:rsidR="00041460">
        <w:rPr>
          <w:rFonts w:cs="Arial"/>
          <w:szCs w:val="24"/>
        </w:rPr>
        <w:t>může</w:t>
      </w:r>
      <w:r w:rsidR="007E6202">
        <w:rPr>
          <w:rFonts w:cs="Arial"/>
          <w:szCs w:val="24"/>
        </w:rPr>
        <w:t>, v </w:t>
      </w:r>
      <w:r w:rsidR="00771D1A">
        <w:rPr>
          <w:rFonts w:cs="Arial"/>
          <w:szCs w:val="24"/>
        </w:rPr>
        <w:t>souvislosti s </w:t>
      </w:r>
      <w:r w:rsidR="007C486A" w:rsidRPr="00545E5A">
        <w:rPr>
          <w:rFonts w:cs="Arial"/>
          <w:szCs w:val="24"/>
        </w:rPr>
        <w:t>restrukturalizací uhelného hornictví, dojít k rozložení působení negativních důsledků spojených s útlumem těžby v čase, a to nejen vůči konkrétním fyzickým osobám (zaměst</w:t>
      </w:r>
      <w:r w:rsidR="00D4612E">
        <w:rPr>
          <w:rFonts w:cs="Arial"/>
          <w:szCs w:val="24"/>
        </w:rPr>
        <w:t>nancům a jejich rodinám), ale v </w:t>
      </w:r>
      <w:r w:rsidR="007C486A" w:rsidRPr="00545E5A">
        <w:rPr>
          <w:rFonts w:cs="Arial"/>
          <w:szCs w:val="24"/>
        </w:rPr>
        <w:t>důsl</w:t>
      </w:r>
      <w:r w:rsidR="00771D1A">
        <w:rPr>
          <w:rFonts w:cs="Arial"/>
          <w:szCs w:val="24"/>
        </w:rPr>
        <w:t>edku multiplikačních efektů i v </w:t>
      </w:r>
      <w:r w:rsidR="007C486A" w:rsidRPr="00545E5A">
        <w:rPr>
          <w:rFonts w:cs="Arial"/>
          <w:szCs w:val="24"/>
        </w:rPr>
        <w:t>daném regionu (např. dopady na snížení koupěschopnosti obyvatelstva).</w:t>
      </w:r>
    </w:p>
    <w:p w:rsidR="007C486A" w:rsidRPr="00545E5A" w:rsidRDefault="007C486A" w:rsidP="00545E5A">
      <w:pPr>
        <w:spacing w:line="240" w:lineRule="auto"/>
        <w:rPr>
          <w:rFonts w:cs="Arial"/>
          <w:szCs w:val="24"/>
        </w:rPr>
      </w:pPr>
    </w:p>
    <w:p w:rsidR="007C486A" w:rsidRPr="00545E5A" w:rsidRDefault="007C486A" w:rsidP="00545E5A">
      <w:pPr>
        <w:spacing w:line="240" w:lineRule="auto"/>
        <w:rPr>
          <w:rFonts w:cs="Arial"/>
          <w:szCs w:val="24"/>
        </w:rPr>
      </w:pPr>
      <w:r w:rsidRPr="00545E5A">
        <w:rPr>
          <w:rFonts w:cs="Arial"/>
          <w:szCs w:val="24"/>
        </w:rPr>
        <w:t xml:space="preserve">Vlastní příspěvek </w:t>
      </w:r>
      <w:r w:rsidR="00041460">
        <w:rPr>
          <w:rFonts w:cs="Arial"/>
          <w:szCs w:val="24"/>
        </w:rPr>
        <w:t>je</w:t>
      </w:r>
      <w:r w:rsidR="00041460" w:rsidRPr="00545E5A">
        <w:rPr>
          <w:rFonts w:cs="Arial"/>
          <w:szCs w:val="24"/>
        </w:rPr>
        <w:t xml:space="preserve"> </w:t>
      </w:r>
      <w:r w:rsidRPr="00545E5A">
        <w:rPr>
          <w:rFonts w:cs="Arial"/>
          <w:szCs w:val="24"/>
        </w:rPr>
        <w:t>diferencován v závislosti na převažujících pracovních činnostech zabezpečovaných uvolňovanými pracovníky v rámci pracovního poměru (vztah podzemí x povrch) a v závislosti na počtu odpra</w:t>
      </w:r>
      <w:r w:rsidR="00771D1A">
        <w:rPr>
          <w:rFonts w:cs="Arial"/>
          <w:szCs w:val="24"/>
        </w:rPr>
        <w:t>covaných let. Pro zaměstnance s </w:t>
      </w:r>
      <w:r w:rsidRPr="00545E5A">
        <w:rPr>
          <w:rFonts w:cs="Arial"/>
          <w:szCs w:val="24"/>
        </w:rPr>
        <w:t>převažující pracovní činnos</w:t>
      </w:r>
      <w:r w:rsidR="00A97002">
        <w:rPr>
          <w:rFonts w:cs="Arial"/>
          <w:szCs w:val="24"/>
        </w:rPr>
        <w:t xml:space="preserve">tí v podzemí </w:t>
      </w:r>
      <w:r w:rsidR="00041460">
        <w:rPr>
          <w:rFonts w:cs="Arial"/>
          <w:szCs w:val="24"/>
        </w:rPr>
        <w:t xml:space="preserve">činí </w:t>
      </w:r>
      <w:r w:rsidR="00A97002">
        <w:rPr>
          <w:rFonts w:cs="Arial"/>
          <w:szCs w:val="24"/>
        </w:rPr>
        <w:t>8 000</w:t>
      </w:r>
      <w:r w:rsidRPr="00545E5A">
        <w:rPr>
          <w:rFonts w:cs="Arial"/>
          <w:szCs w:val="24"/>
        </w:rPr>
        <w:t xml:space="preserve"> Kč/měsíc a pro zaměstnance povrchových profesí 7 000 </w:t>
      </w:r>
      <w:r w:rsidR="00A97002">
        <w:rPr>
          <w:rFonts w:cs="Arial"/>
          <w:szCs w:val="24"/>
        </w:rPr>
        <w:t>Kč</w:t>
      </w:r>
      <w:r w:rsidRPr="00545E5A">
        <w:rPr>
          <w:rFonts w:cs="Arial"/>
          <w:szCs w:val="24"/>
        </w:rPr>
        <w:t xml:space="preserve">/měsíc. </w:t>
      </w:r>
      <w:r w:rsidR="00041460">
        <w:rPr>
          <w:rFonts w:cs="Arial"/>
          <w:szCs w:val="24"/>
        </w:rPr>
        <w:t>Pro z</w:t>
      </w:r>
      <w:r w:rsidRPr="00545E5A">
        <w:rPr>
          <w:rFonts w:cs="Arial"/>
          <w:szCs w:val="24"/>
        </w:rPr>
        <w:t>aměstnanc</w:t>
      </w:r>
      <w:r w:rsidR="00041460">
        <w:rPr>
          <w:rFonts w:cs="Arial"/>
          <w:szCs w:val="24"/>
        </w:rPr>
        <w:t>e</w:t>
      </w:r>
      <w:r w:rsidR="007E6202">
        <w:rPr>
          <w:rFonts w:cs="Arial"/>
          <w:szCs w:val="24"/>
        </w:rPr>
        <w:t xml:space="preserve"> s </w:t>
      </w:r>
      <w:r w:rsidR="00771D1A">
        <w:rPr>
          <w:rFonts w:cs="Arial"/>
          <w:szCs w:val="24"/>
        </w:rPr>
        <w:t>odpracovanými roky do 5 </w:t>
      </w:r>
      <w:r w:rsidRPr="00545E5A">
        <w:rPr>
          <w:rFonts w:cs="Arial"/>
          <w:szCs w:val="24"/>
        </w:rPr>
        <w:t xml:space="preserve">let </w:t>
      </w:r>
      <w:r w:rsidR="00041460">
        <w:rPr>
          <w:rFonts w:cs="Arial"/>
          <w:szCs w:val="24"/>
        </w:rPr>
        <w:t>je</w:t>
      </w:r>
      <w:r w:rsidR="00041460" w:rsidRPr="00545E5A">
        <w:rPr>
          <w:rFonts w:cs="Arial"/>
          <w:szCs w:val="24"/>
        </w:rPr>
        <w:t xml:space="preserve"> </w:t>
      </w:r>
      <w:r w:rsidR="005D0B80" w:rsidRPr="00545E5A">
        <w:rPr>
          <w:rFonts w:cs="Arial"/>
          <w:szCs w:val="24"/>
        </w:rPr>
        <w:t xml:space="preserve">příspěvek </w:t>
      </w:r>
      <w:r w:rsidR="00041460">
        <w:rPr>
          <w:rFonts w:cs="Arial"/>
          <w:szCs w:val="24"/>
        </w:rPr>
        <w:t>stanoven</w:t>
      </w:r>
      <w:r w:rsidR="00041460" w:rsidRPr="00545E5A">
        <w:rPr>
          <w:rFonts w:cs="Arial"/>
          <w:szCs w:val="24"/>
        </w:rPr>
        <w:t xml:space="preserve"> </w:t>
      </w:r>
      <w:r w:rsidR="00041460">
        <w:rPr>
          <w:rFonts w:cs="Arial"/>
          <w:szCs w:val="24"/>
        </w:rPr>
        <w:t>na</w:t>
      </w:r>
      <w:r w:rsidR="00041460" w:rsidRPr="00545E5A">
        <w:rPr>
          <w:rFonts w:cs="Arial"/>
          <w:szCs w:val="24"/>
        </w:rPr>
        <w:t xml:space="preserve"> </w:t>
      </w:r>
      <w:r w:rsidR="005D0B80" w:rsidRPr="00545E5A">
        <w:rPr>
          <w:rFonts w:cs="Arial"/>
          <w:szCs w:val="24"/>
        </w:rPr>
        <w:t>dobu 3 </w:t>
      </w:r>
      <w:r w:rsidRPr="00545E5A">
        <w:rPr>
          <w:rFonts w:cs="Arial"/>
          <w:szCs w:val="24"/>
        </w:rPr>
        <w:t>měsíců s tím, že za každý další odpracovaný rok se délka jeho pobírání prodlouží vždy o d</w:t>
      </w:r>
      <w:r w:rsidR="005D0B80" w:rsidRPr="00545E5A">
        <w:rPr>
          <w:rFonts w:cs="Arial"/>
          <w:szCs w:val="24"/>
        </w:rPr>
        <w:t>alší 3 </w:t>
      </w:r>
      <w:r w:rsidRPr="00545E5A">
        <w:rPr>
          <w:rFonts w:cs="Arial"/>
          <w:szCs w:val="24"/>
        </w:rPr>
        <w:t xml:space="preserve">měsíce. Maximální doba pobírání příspěvku </w:t>
      </w:r>
      <w:r w:rsidR="00041460">
        <w:rPr>
          <w:rFonts w:cs="Arial"/>
          <w:szCs w:val="24"/>
        </w:rPr>
        <w:t>činí</w:t>
      </w:r>
      <w:r w:rsidR="00041460" w:rsidRPr="00545E5A">
        <w:rPr>
          <w:rFonts w:cs="Arial"/>
          <w:szCs w:val="24"/>
        </w:rPr>
        <w:t xml:space="preserve"> </w:t>
      </w:r>
      <w:r w:rsidRPr="00545E5A">
        <w:rPr>
          <w:rFonts w:cs="Arial"/>
          <w:szCs w:val="24"/>
        </w:rPr>
        <w:t>36 měsíců a do</w:t>
      </w:r>
      <w:r w:rsidR="005D0B80" w:rsidRPr="00545E5A">
        <w:rPr>
          <w:rFonts w:cs="Arial"/>
          <w:szCs w:val="24"/>
        </w:rPr>
        <w:t>sáhnou ji všichni zaměstnanci s </w:t>
      </w:r>
      <w:r w:rsidRPr="00545E5A">
        <w:rPr>
          <w:rFonts w:cs="Arial"/>
          <w:szCs w:val="24"/>
        </w:rPr>
        <w:t>počtem odpracovaných let 15 a více.</w:t>
      </w:r>
    </w:p>
    <w:p w:rsidR="007C486A" w:rsidRPr="00545E5A" w:rsidRDefault="007C486A" w:rsidP="00545E5A">
      <w:pPr>
        <w:spacing w:line="240" w:lineRule="auto"/>
        <w:rPr>
          <w:rFonts w:cs="Arial"/>
          <w:szCs w:val="24"/>
        </w:rPr>
      </w:pPr>
    </w:p>
    <w:p w:rsidR="007C486A" w:rsidRDefault="007C486A" w:rsidP="00545E5A">
      <w:pPr>
        <w:spacing w:line="240" w:lineRule="auto"/>
        <w:rPr>
          <w:rFonts w:cs="Arial"/>
          <w:szCs w:val="24"/>
        </w:rPr>
      </w:pPr>
      <w:r w:rsidRPr="00545E5A">
        <w:rPr>
          <w:rFonts w:cs="Arial"/>
          <w:szCs w:val="24"/>
        </w:rPr>
        <w:lastRenderedPageBreak/>
        <w:t xml:space="preserve">Samostatnou skupinu </w:t>
      </w:r>
      <w:r w:rsidR="00041460" w:rsidRPr="00545E5A">
        <w:rPr>
          <w:rFonts w:cs="Arial"/>
          <w:szCs w:val="24"/>
        </w:rPr>
        <w:t>představ</w:t>
      </w:r>
      <w:r w:rsidR="00041460">
        <w:rPr>
          <w:rFonts w:cs="Arial"/>
          <w:szCs w:val="24"/>
        </w:rPr>
        <w:t>ují</w:t>
      </w:r>
      <w:r w:rsidR="00041460" w:rsidRPr="00545E5A">
        <w:rPr>
          <w:rFonts w:cs="Arial"/>
          <w:szCs w:val="24"/>
        </w:rPr>
        <w:t xml:space="preserve"> </w:t>
      </w:r>
      <w:r w:rsidRPr="00545E5A">
        <w:rPr>
          <w:rFonts w:cs="Arial"/>
          <w:szCs w:val="24"/>
        </w:rPr>
        <w:t xml:space="preserve">zaměstnanci nejvyšších věkových kategorií, kteří jsou z hlediska získání nového zaměstnání nejvíce ohroženi. </w:t>
      </w:r>
      <w:r w:rsidR="00041460">
        <w:rPr>
          <w:rFonts w:cs="Arial"/>
          <w:szCs w:val="24"/>
        </w:rPr>
        <w:t>Pro z</w:t>
      </w:r>
      <w:r w:rsidR="00041460" w:rsidRPr="00545E5A">
        <w:rPr>
          <w:rFonts w:cs="Arial"/>
          <w:szCs w:val="24"/>
        </w:rPr>
        <w:t>aměstnanc</w:t>
      </w:r>
      <w:r w:rsidR="00041460">
        <w:rPr>
          <w:rFonts w:cs="Arial"/>
          <w:szCs w:val="24"/>
        </w:rPr>
        <w:t>e</w:t>
      </w:r>
      <w:r w:rsidR="00041460" w:rsidRPr="00545E5A">
        <w:rPr>
          <w:rFonts w:cs="Arial"/>
          <w:szCs w:val="24"/>
        </w:rPr>
        <w:t xml:space="preserve"> </w:t>
      </w:r>
      <w:r w:rsidR="00771D1A">
        <w:rPr>
          <w:rFonts w:cs="Arial"/>
          <w:szCs w:val="24"/>
        </w:rPr>
        <w:t>s </w:t>
      </w:r>
      <w:r w:rsidRPr="00545E5A">
        <w:rPr>
          <w:rFonts w:cs="Arial"/>
          <w:szCs w:val="24"/>
        </w:rPr>
        <w:t xml:space="preserve">převažující pracovní činností v podzemí, kteří budou splňovat podmínky dosažení 50 let věku, 25 let praxe a 3 300 odpracovaných směn, </w:t>
      </w:r>
      <w:r w:rsidR="00041460">
        <w:rPr>
          <w:rFonts w:cs="Arial"/>
          <w:szCs w:val="24"/>
        </w:rPr>
        <w:t xml:space="preserve">je stanoven </w:t>
      </w:r>
      <w:r w:rsidRPr="00545E5A">
        <w:rPr>
          <w:rFonts w:cs="Arial"/>
          <w:szCs w:val="24"/>
        </w:rPr>
        <w:t>příspěvek po obd</w:t>
      </w:r>
      <w:r w:rsidR="00A45755" w:rsidRPr="00545E5A">
        <w:rPr>
          <w:rFonts w:cs="Arial"/>
          <w:szCs w:val="24"/>
        </w:rPr>
        <w:t>obí nikoli 3, nýbrž 5 let (v případě pracovníků pracujících převážně v podzemí), resp. v případě pracovníků pracujících převážně na povrchu při dosažení věku 55 let a 25 let praxe.</w:t>
      </w:r>
    </w:p>
    <w:p w:rsidR="00A97002" w:rsidRDefault="00A97002" w:rsidP="00545E5A">
      <w:pPr>
        <w:spacing w:line="240" w:lineRule="auto"/>
        <w:rPr>
          <w:rFonts w:cs="Arial"/>
          <w:szCs w:val="24"/>
        </w:rPr>
      </w:pPr>
    </w:p>
    <w:p w:rsidR="00A97002" w:rsidRDefault="00A97002" w:rsidP="00545E5A">
      <w:pPr>
        <w:spacing w:line="240" w:lineRule="auto"/>
        <w:rPr>
          <w:rFonts w:cs="Arial"/>
          <w:b/>
          <w:szCs w:val="24"/>
        </w:rPr>
      </w:pPr>
      <w:r>
        <w:rPr>
          <w:rFonts w:cs="Arial"/>
          <w:b/>
          <w:szCs w:val="24"/>
        </w:rPr>
        <w:t>Návrh nařízení vlády byl schválen vládou České republiky usnesením č. 405 ze dne 11. května 2016, nicméně pouze pro společnost OKD, a.s., čímž došlo k vyloučení z poskytování příspěvků bývalých zaměstnanců jiných hornických společností, včetně společností těžících hnědé uhlí v severních Čechách.</w:t>
      </w:r>
    </w:p>
    <w:p w:rsidR="00A44CA3" w:rsidRDefault="00A44CA3" w:rsidP="00545E5A">
      <w:pPr>
        <w:spacing w:line="240" w:lineRule="auto"/>
        <w:rPr>
          <w:rFonts w:cs="Arial"/>
          <w:b/>
          <w:szCs w:val="24"/>
        </w:rPr>
      </w:pPr>
    </w:p>
    <w:p w:rsidR="00A44CA3" w:rsidRPr="00A97002" w:rsidRDefault="00A44CA3" w:rsidP="00545E5A">
      <w:pPr>
        <w:spacing w:line="240" w:lineRule="auto"/>
        <w:rPr>
          <w:rFonts w:cs="Arial"/>
          <w:b/>
          <w:szCs w:val="24"/>
        </w:rPr>
      </w:pPr>
      <w:r>
        <w:rPr>
          <w:rFonts w:cs="Arial"/>
          <w:b/>
          <w:szCs w:val="24"/>
        </w:rPr>
        <w:t>Z důvodu zajištění zmírnění sociálních dopadů ve strukturálně postiženém regionu Ústeckého kraje v důsledku útlumu těžby hnědého uhlí z důvodu částečného zachování územně ekologických limitů těžby je navrhováno rozšířit oprávněné osoby, které o příspěvek mohou žádat, i o zaměstnance hornických společností zabývající se těžbou hnědého uhlí.</w:t>
      </w:r>
    </w:p>
    <w:p w:rsidR="00D4612E" w:rsidRPr="00545E5A" w:rsidRDefault="00D4612E" w:rsidP="00545E5A">
      <w:pPr>
        <w:spacing w:line="240" w:lineRule="auto"/>
        <w:rPr>
          <w:rFonts w:cs="Arial"/>
          <w:szCs w:val="24"/>
        </w:rPr>
      </w:pPr>
    </w:p>
    <w:p w:rsidR="007C486A" w:rsidRPr="00545E5A" w:rsidRDefault="007C486A" w:rsidP="00545E5A">
      <w:pPr>
        <w:spacing w:line="240" w:lineRule="auto"/>
        <w:rPr>
          <w:rFonts w:cs="Arial"/>
          <w:szCs w:val="24"/>
        </w:rPr>
      </w:pPr>
    </w:p>
    <w:p w:rsidR="00657F6D" w:rsidRPr="00545E5A" w:rsidRDefault="00657F6D" w:rsidP="00545E5A">
      <w:pPr>
        <w:pStyle w:val="Odstavecseseznamem"/>
        <w:numPr>
          <w:ilvl w:val="0"/>
          <w:numId w:val="19"/>
        </w:numPr>
        <w:spacing w:line="240" w:lineRule="auto"/>
        <w:rPr>
          <w:rFonts w:cs="Arial"/>
          <w:b/>
          <w:szCs w:val="24"/>
          <w:u w:val="single"/>
        </w:rPr>
      </w:pPr>
      <w:r w:rsidRPr="00545E5A">
        <w:rPr>
          <w:rFonts w:cs="Arial"/>
          <w:b/>
          <w:szCs w:val="24"/>
          <w:u w:val="single"/>
        </w:rPr>
        <w:t xml:space="preserve">Strategie hospodářské restrukturalizace </w:t>
      </w:r>
      <w:r w:rsidR="005D0B80" w:rsidRPr="00545E5A">
        <w:rPr>
          <w:rFonts w:cs="Arial"/>
          <w:b/>
          <w:szCs w:val="24"/>
          <w:u w:val="single"/>
        </w:rPr>
        <w:t>Ústeckého, Moravskoslezského a </w:t>
      </w:r>
      <w:r w:rsidRPr="00545E5A">
        <w:rPr>
          <w:rFonts w:cs="Arial"/>
          <w:b/>
          <w:szCs w:val="24"/>
          <w:u w:val="single"/>
        </w:rPr>
        <w:t>Karlovarského kraje (J2)</w:t>
      </w:r>
    </w:p>
    <w:p w:rsidR="00657F6D" w:rsidRPr="00545E5A" w:rsidRDefault="00657F6D" w:rsidP="00545E5A">
      <w:pPr>
        <w:spacing w:line="240" w:lineRule="auto"/>
        <w:rPr>
          <w:rFonts w:cs="Arial"/>
          <w:szCs w:val="24"/>
        </w:rPr>
      </w:pPr>
    </w:p>
    <w:p w:rsidR="00657F6D" w:rsidRDefault="00657F6D" w:rsidP="00545E5A">
      <w:pPr>
        <w:spacing w:line="240" w:lineRule="auto"/>
        <w:rPr>
          <w:rFonts w:cs="Arial"/>
          <w:szCs w:val="24"/>
        </w:rPr>
      </w:pPr>
      <w:r w:rsidRPr="00545E5A">
        <w:rPr>
          <w:rFonts w:cs="Arial"/>
          <w:szCs w:val="24"/>
        </w:rPr>
        <w:t>Na základě usnesení vlády č. 826/2015 je v gesci Ministerstva průmyslu a obchodu ČR a Ministerstva pro místní rozvoj ČR s oporou v mezirezortním týmu připravována „Strategie hospodářské restrukturalizace</w:t>
      </w:r>
      <w:r w:rsidR="00D4612E">
        <w:rPr>
          <w:rFonts w:cs="Arial"/>
          <w:szCs w:val="24"/>
        </w:rPr>
        <w:t xml:space="preserve"> Ústeckého, Moravskoslezského a </w:t>
      </w:r>
      <w:r w:rsidRPr="00545E5A">
        <w:rPr>
          <w:rFonts w:cs="Arial"/>
          <w:szCs w:val="24"/>
        </w:rPr>
        <w:t>Karlovarského kraje</w:t>
      </w:r>
      <w:r w:rsidR="00C45897">
        <w:rPr>
          <w:rFonts w:cs="Arial"/>
          <w:szCs w:val="24"/>
        </w:rPr>
        <w:t>“</w:t>
      </w:r>
      <w:r w:rsidRPr="00545E5A">
        <w:rPr>
          <w:rFonts w:cs="Arial"/>
          <w:szCs w:val="24"/>
        </w:rPr>
        <w:t>, která bude předložena vládě do 3</w:t>
      </w:r>
      <w:r w:rsidR="00902D0C">
        <w:rPr>
          <w:rFonts w:cs="Arial"/>
          <w:szCs w:val="24"/>
        </w:rPr>
        <w:t>0</w:t>
      </w:r>
      <w:r w:rsidRPr="00545E5A">
        <w:rPr>
          <w:rFonts w:cs="Arial"/>
          <w:szCs w:val="24"/>
        </w:rPr>
        <w:t>. 11. 2016. Zpracování strategie vychází z koncepce předložené zmocněncem vlády pro MSK, Ú</w:t>
      </w:r>
      <w:r w:rsidR="00E5035A">
        <w:rPr>
          <w:rFonts w:cs="Arial"/>
          <w:szCs w:val="24"/>
        </w:rPr>
        <w:t>L</w:t>
      </w:r>
      <w:r w:rsidR="007E6202">
        <w:rPr>
          <w:rFonts w:cs="Arial"/>
          <w:szCs w:val="24"/>
        </w:rPr>
        <w:t>K a KVK a </w:t>
      </w:r>
      <w:r w:rsidRPr="00545E5A">
        <w:rPr>
          <w:rFonts w:cs="Arial"/>
          <w:szCs w:val="24"/>
        </w:rPr>
        <w:t>reaguje na potřebu komplexně a efektivně řešit aktuální situaci a hrozící závažné ekonomické a sociální problémy v Ú</w:t>
      </w:r>
      <w:r w:rsidR="00E5035A">
        <w:rPr>
          <w:rFonts w:cs="Arial"/>
          <w:szCs w:val="24"/>
        </w:rPr>
        <w:t>L</w:t>
      </w:r>
      <w:r w:rsidRPr="00545E5A">
        <w:rPr>
          <w:rFonts w:cs="Arial"/>
          <w:szCs w:val="24"/>
        </w:rPr>
        <w:t xml:space="preserve">K, MSK a KVK. Strategie je připravována </w:t>
      </w:r>
      <w:r w:rsidR="007E6202">
        <w:rPr>
          <w:rFonts w:cs="Arial"/>
          <w:szCs w:val="24"/>
        </w:rPr>
        <w:t>s </w:t>
      </w:r>
      <w:r w:rsidRPr="00545E5A">
        <w:rPr>
          <w:rFonts w:cs="Arial"/>
          <w:szCs w:val="24"/>
        </w:rPr>
        <w:t>cílem eliminovat vznik izolovaných intervencí bez synergického efektu a měla by zahrnovat opatření nejen investičního, ale také legislativního a společenského charakteru s cílem celkově zvýšit atraktivitu a kvalitu života v postižených regionech.</w:t>
      </w:r>
    </w:p>
    <w:p w:rsidR="00D4612E" w:rsidRPr="00545E5A" w:rsidRDefault="00D4612E" w:rsidP="00545E5A">
      <w:pPr>
        <w:spacing w:line="240" w:lineRule="auto"/>
        <w:rPr>
          <w:rFonts w:cs="Arial"/>
          <w:szCs w:val="24"/>
        </w:rPr>
      </w:pPr>
    </w:p>
    <w:p w:rsidR="00244020" w:rsidRDefault="00244020">
      <w:pPr>
        <w:spacing w:after="200"/>
        <w:jc w:val="left"/>
        <w:rPr>
          <w:rFonts w:cs="Arial"/>
          <w:szCs w:val="24"/>
        </w:rPr>
      </w:pPr>
      <w:r>
        <w:rPr>
          <w:rFonts w:cs="Arial"/>
          <w:szCs w:val="24"/>
        </w:rPr>
        <w:br w:type="page"/>
      </w:r>
    </w:p>
    <w:p w:rsidR="00657F6D" w:rsidRPr="00545E5A" w:rsidRDefault="005D0B80" w:rsidP="00545E5A">
      <w:pPr>
        <w:pStyle w:val="Odstavecseseznamem"/>
        <w:numPr>
          <w:ilvl w:val="0"/>
          <w:numId w:val="19"/>
        </w:numPr>
        <w:spacing w:line="240" w:lineRule="auto"/>
        <w:rPr>
          <w:rFonts w:cs="Arial"/>
          <w:b/>
          <w:szCs w:val="24"/>
          <w:u w:val="single"/>
        </w:rPr>
      </w:pPr>
      <w:r w:rsidRPr="00545E5A">
        <w:rPr>
          <w:rFonts w:cs="Arial"/>
          <w:b/>
          <w:szCs w:val="24"/>
          <w:u w:val="single"/>
        </w:rPr>
        <w:lastRenderedPageBreak/>
        <w:t>Program podpory investic do nových výrobních zařízení a zaměstnanosti ve strukturálně postižených regionech (J3)</w:t>
      </w:r>
    </w:p>
    <w:p w:rsidR="005D0B80" w:rsidRPr="00545E5A" w:rsidRDefault="005D0B80" w:rsidP="00545E5A">
      <w:pPr>
        <w:spacing w:line="240" w:lineRule="auto"/>
        <w:rPr>
          <w:rFonts w:cs="Arial"/>
          <w:b/>
          <w:szCs w:val="24"/>
          <w:u w:val="single"/>
        </w:rPr>
      </w:pPr>
    </w:p>
    <w:p w:rsidR="00657F6D" w:rsidRPr="00545E5A" w:rsidRDefault="00657F6D" w:rsidP="00545E5A">
      <w:pPr>
        <w:spacing w:line="240" w:lineRule="auto"/>
        <w:rPr>
          <w:rFonts w:cs="Arial"/>
          <w:szCs w:val="24"/>
        </w:rPr>
      </w:pPr>
      <w:r w:rsidRPr="00545E5A">
        <w:rPr>
          <w:rFonts w:cs="Arial"/>
          <w:szCs w:val="24"/>
        </w:rPr>
        <w:t xml:space="preserve">Jako jedno z cílených opatření </w:t>
      </w:r>
      <w:r w:rsidR="005D0B80" w:rsidRPr="00545E5A">
        <w:rPr>
          <w:rFonts w:cs="Arial"/>
          <w:szCs w:val="24"/>
        </w:rPr>
        <w:t>na podporu</w:t>
      </w:r>
      <w:r w:rsidRPr="00545E5A">
        <w:rPr>
          <w:rFonts w:cs="Arial"/>
          <w:szCs w:val="24"/>
        </w:rPr>
        <w:t xml:space="preserve"> zaměstnanosti je v gesci Ministerstva průmyslu a obchodu ČR připravován „Program podpory investic do nových výrobních zařízení a zaměstnanosti ve strukturálně postižených regionech“. Program má být vyhlášen</w:t>
      </w:r>
      <w:r w:rsidR="005D0B80" w:rsidRPr="00545E5A">
        <w:rPr>
          <w:rFonts w:cs="Arial"/>
          <w:szCs w:val="24"/>
        </w:rPr>
        <w:t xml:space="preserve"> podle zákona č. 47/2002 Sb., o </w:t>
      </w:r>
      <w:r w:rsidRPr="00545E5A">
        <w:rPr>
          <w:rFonts w:cs="Arial"/>
          <w:szCs w:val="24"/>
        </w:rPr>
        <w:t>podpoře malého a středního podnikání</w:t>
      </w:r>
      <w:r w:rsidR="005D0B80" w:rsidRPr="00545E5A">
        <w:rPr>
          <w:rFonts w:cs="Arial"/>
          <w:szCs w:val="24"/>
        </w:rPr>
        <w:t>,</w:t>
      </w:r>
      <w:r w:rsidRPr="00545E5A">
        <w:rPr>
          <w:rFonts w:cs="Arial"/>
          <w:szCs w:val="24"/>
        </w:rPr>
        <w:t xml:space="preserve"> ve znění pozdějších předpisů</w:t>
      </w:r>
      <w:r w:rsidR="005D0B80" w:rsidRPr="00545E5A">
        <w:rPr>
          <w:rFonts w:cs="Arial"/>
          <w:szCs w:val="24"/>
        </w:rPr>
        <w:t>,</w:t>
      </w:r>
      <w:r w:rsidRPr="00545E5A">
        <w:rPr>
          <w:rFonts w:cs="Arial"/>
          <w:szCs w:val="24"/>
        </w:rPr>
        <w:t xml:space="preserve"> a v souladu s </w:t>
      </w:r>
      <w:r w:rsidR="00986B10">
        <w:rPr>
          <w:rFonts w:cs="Arial"/>
          <w:szCs w:val="24"/>
        </w:rPr>
        <w:t>N</w:t>
      </w:r>
      <w:r w:rsidR="00986B10" w:rsidRPr="00426030">
        <w:rPr>
          <w:rFonts w:cs="Arial"/>
          <w:bCs/>
        </w:rPr>
        <w:t>aříz</w:t>
      </w:r>
      <w:r w:rsidR="00771D1A">
        <w:rPr>
          <w:rFonts w:cs="Arial"/>
          <w:bCs/>
        </w:rPr>
        <w:t>ením Komise (EU) č. 1407/2013 o </w:t>
      </w:r>
      <w:r w:rsidR="00986B10" w:rsidRPr="00426030">
        <w:rPr>
          <w:rFonts w:cs="Arial"/>
          <w:bCs/>
        </w:rPr>
        <w:t xml:space="preserve">použití článků 107 a 108 Smlouvy o fungování EU na podporu de </w:t>
      </w:r>
      <w:proofErr w:type="spellStart"/>
      <w:r w:rsidR="00986B10" w:rsidRPr="00426030">
        <w:rPr>
          <w:rFonts w:cs="Arial"/>
          <w:bCs/>
        </w:rPr>
        <w:t>minimis</w:t>
      </w:r>
      <w:proofErr w:type="spellEnd"/>
      <w:r w:rsidR="00986B10" w:rsidRPr="00545E5A" w:rsidDel="00986B10">
        <w:rPr>
          <w:rFonts w:cs="Arial"/>
          <w:szCs w:val="24"/>
        </w:rPr>
        <w:t xml:space="preserve"> </w:t>
      </w:r>
      <w:r w:rsidR="00D4612E">
        <w:rPr>
          <w:rFonts w:cs="Arial"/>
          <w:szCs w:val="24"/>
        </w:rPr>
        <w:t>(dále jen „de </w:t>
      </w:r>
      <w:proofErr w:type="spellStart"/>
      <w:r w:rsidRPr="00545E5A">
        <w:rPr>
          <w:rFonts w:cs="Arial"/>
          <w:szCs w:val="24"/>
        </w:rPr>
        <w:t>minimis</w:t>
      </w:r>
      <w:proofErr w:type="spellEnd"/>
      <w:r w:rsidRPr="00545E5A">
        <w:rPr>
          <w:rFonts w:cs="Arial"/>
          <w:szCs w:val="24"/>
        </w:rPr>
        <w:t>“)</w:t>
      </w:r>
      <w:r w:rsidR="00986B10">
        <w:rPr>
          <w:rFonts w:cs="Arial"/>
          <w:szCs w:val="24"/>
        </w:rPr>
        <w:t xml:space="preserve"> popřípadě v souladu s dalšími využitelnými právními předpisy upravujícími pravidla poskytování veřejné podpory</w:t>
      </w:r>
      <w:r w:rsidRPr="00545E5A">
        <w:rPr>
          <w:rFonts w:cs="Arial"/>
          <w:szCs w:val="24"/>
        </w:rPr>
        <w:t>. Jeho základní teze jsou aktuálně p</w:t>
      </w:r>
      <w:r w:rsidR="00D4612E">
        <w:rPr>
          <w:rFonts w:cs="Arial"/>
          <w:szCs w:val="24"/>
        </w:rPr>
        <w:t>řipravovány pro jednání vlády v </w:t>
      </w:r>
      <w:r w:rsidRPr="00545E5A">
        <w:rPr>
          <w:rFonts w:cs="Arial"/>
          <w:szCs w:val="24"/>
        </w:rPr>
        <w:t>konzultacích s dotčenými regiony a zmocněncem</w:t>
      </w:r>
      <w:r w:rsidR="00D4612E">
        <w:rPr>
          <w:rFonts w:cs="Arial"/>
          <w:szCs w:val="24"/>
        </w:rPr>
        <w:t xml:space="preserve"> vlády pro MSK, Ú</w:t>
      </w:r>
      <w:r w:rsidR="00E5035A">
        <w:rPr>
          <w:rFonts w:cs="Arial"/>
          <w:szCs w:val="24"/>
        </w:rPr>
        <w:t>L</w:t>
      </w:r>
      <w:r w:rsidR="00D4612E">
        <w:rPr>
          <w:rFonts w:cs="Arial"/>
          <w:szCs w:val="24"/>
        </w:rPr>
        <w:t>K a KVK. Další </w:t>
      </w:r>
      <w:r w:rsidRPr="00545E5A">
        <w:rPr>
          <w:rFonts w:cs="Arial"/>
          <w:szCs w:val="24"/>
        </w:rPr>
        <w:t>podmínky tohoto programu bude spe</w:t>
      </w:r>
      <w:r w:rsidR="00E5035A">
        <w:rPr>
          <w:rFonts w:cs="Arial"/>
          <w:szCs w:val="24"/>
        </w:rPr>
        <w:t>cifikovat správce programu (MPO</w:t>
      </w:r>
      <w:r w:rsidRPr="00545E5A">
        <w:rPr>
          <w:rFonts w:cs="Arial"/>
          <w:szCs w:val="24"/>
        </w:rPr>
        <w:t>) formou časově omezených Výzev.</w:t>
      </w:r>
      <w:r w:rsidR="005D0B80" w:rsidRPr="00545E5A">
        <w:rPr>
          <w:rFonts w:cs="Arial"/>
          <w:szCs w:val="24"/>
        </w:rPr>
        <w:t xml:space="preserve"> </w:t>
      </w:r>
      <w:r w:rsidRPr="00545E5A">
        <w:rPr>
          <w:rFonts w:cs="Arial"/>
          <w:szCs w:val="24"/>
        </w:rPr>
        <w:t>Cílem prog</w:t>
      </w:r>
      <w:r w:rsidR="00D4612E">
        <w:rPr>
          <w:rFonts w:cs="Arial"/>
          <w:szCs w:val="24"/>
        </w:rPr>
        <w:t>ramu je posílit rozvoj malých a </w:t>
      </w:r>
      <w:r w:rsidRPr="00545E5A">
        <w:rPr>
          <w:rFonts w:cs="Arial"/>
          <w:szCs w:val="24"/>
        </w:rPr>
        <w:t>středních podniků, vytvořit podmínky pro zřízení nových pracovních míst a snížit tak nezaměstnanost ve strukturálně postižených regionech (především na území Moravskoslezského, Ústeckého a Karlovarského kraje).</w:t>
      </w:r>
    </w:p>
    <w:sectPr w:rsidR="00657F6D" w:rsidRPr="00545E5A" w:rsidSect="00F51EA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197" w:rsidRDefault="009B5197" w:rsidP="00C219A3">
      <w:pPr>
        <w:spacing w:line="240" w:lineRule="auto"/>
      </w:pPr>
      <w:r>
        <w:separator/>
      </w:r>
    </w:p>
  </w:endnote>
  <w:endnote w:type="continuationSeparator" w:id="0">
    <w:p w:rsidR="009B5197" w:rsidRDefault="009B5197" w:rsidP="00C219A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735411"/>
      <w:docPartObj>
        <w:docPartGallery w:val="Page Numbers (Bottom of Page)"/>
        <w:docPartUnique/>
      </w:docPartObj>
    </w:sdtPr>
    <w:sdtEndPr>
      <w:rPr>
        <w:sz w:val="20"/>
      </w:rPr>
    </w:sdtEndPr>
    <w:sdtContent>
      <w:p w:rsidR="007854EE" w:rsidRPr="00475AC9" w:rsidRDefault="00F51EA0">
        <w:pPr>
          <w:pStyle w:val="Zpat"/>
          <w:jc w:val="center"/>
          <w:rPr>
            <w:sz w:val="20"/>
          </w:rPr>
        </w:pPr>
        <w:r w:rsidRPr="00475AC9">
          <w:rPr>
            <w:sz w:val="20"/>
          </w:rPr>
          <w:fldChar w:fldCharType="begin"/>
        </w:r>
        <w:r w:rsidR="007854EE" w:rsidRPr="00475AC9">
          <w:rPr>
            <w:sz w:val="20"/>
          </w:rPr>
          <w:instrText>PAGE   \* MERGEFORMAT</w:instrText>
        </w:r>
        <w:r w:rsidRPr="00475AC9">
          <w:rPr>
            <w:sz w:val="20"/>
          </w:rPr>
          <w:fldChar w:fldCharType="separate"/>
        </w:r>
        <w:r w:rsidR="00B2439F">
          <w:rPr>
            <w:noProof/>
            <w:sz w:val="20"/>
          </w:rPr>
          <w:t>1</w:t>
        </w:r>
        <w:r w:rsidRPr="00475AC9">
          <w:rPr>
            <w:sz w:val="20"/>
          </w:rPr>
          <w:fldChar w:fldCharType="end"/>
        </w:r>
      </w:p>
    </w:sdtContent>
  </w:sdt>
  <w:p w:rsidR="007854EE" w:rsidRDefault="007854EE">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197" w:rsidRDefault="009B5197" w:rsidP="00C219A3">
      <w:pPr>
        <w:spacing w:line="240" w:lineRule="auto"/>
      </w:pPr>
      <w:r>
        <w:separator/>
      </w:r>
    </w:p>
  </w:footnote>
  <w:footnote w:type="continuationSeparator" w:id="0">
    <w:p w:rsidR="009B5197" w:rsidRDefault="009B5197" w:rsidP="00C219A3">
      <w:pPr>
        <w:spacing w:line="240" w:lineRule="auto"/>
      </w:pPr>
      <w:r>
        <w:continuationSeparator/>
      </w:r>
    </w:p>
  </w:footnote>
  <w:footnote w:id="1">
    <w:p w:rsidR="007854EE" w:rsidRDefault="007854EE" w:rsidP="00E55C54">
      <w:pPr>
        <w:pStyle w:val="Textpoznpodarou"/>
      </w:pPr>
      <w:r>
        <w:rPr>
          <w:rStyle w:val="Znakapoznpodarou"/>
        </w:rPr>
        <w:footnoteRef/>
      </w:r>
      <w:r>
        <w:t xml:space="preserve"> Posouzení ekonomických dopadů z pohledu zvažovaných variant prolomení limitu těžby uhlí na území severních Čech. MPO 2015</w:t>
      </w:r>
    </w:p>
  </w:footnote>
  <w:footnote w:id="2">
    <w:p w:rsidR="007854EE" w:rsidRPr="00A30C6D" w:rsidRDefault="007854EE" w:rsidP="00C219A3">
      <w:pPr>
        <w:pStyle w:val="Textpoznpodarou"/>
      </w:pPr>
      <w:r>
        <w:rPr>
          <w:rStyle w:val="Znakapoznpodarou"/>
        </w:rPr>
        <w:footnoteRef/>
      </w:r>
      <w:r>
        <w:t xml:space="preserve"> Ing. Jan Čadil, </w:t>
      </w:r>
      <w:proofErr w:type="spellStart"/>
      <w:r>
        <w:t>Ph.D</w:t>
      </w:r>
      <w:proofErr w:type="spellEnd"/>
      <w:r>
        <w:t xml:space="preserve">.: </w:t>
      </w:r>
      <w:r>
        <w:rPr>
          <w:i/>
        </w:rPr>
        <w:t>Analýza nákladů veřejných rozpočtů na středního nezaměstnaného</w:t>
      </w:r>
      <w:r>
        <w:t xml:space="preserve">. </w:t>
      </w:r>
      <w:proofErr w:type="spellStart"/>
      <w:r>
        <w:t>Unicor</w:t>
      </w:r>
      <w:proofErr w:type="spellEnd"/>
      <w:r>
        <w:t xml:space="preserve"> College, 2011, vypracováno v rámci projektu TESSEA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31F0E"/>
    <w:multiLevelType w:val="hybridMultilevel"/>
    <w:tmpl w:val="DD5E02B6"/>
    <w:lvl w:ilvl="0" w:tplc="6C2EA1E6">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36F57D2"/>
    <w:multiLevelType w:val="hybridMultilevel"/>
    <w:tmpl w:val="6B1EC4A2"/>
    <w:lvl w:ilvl="0" w:tplc="A3B4CF1E">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2">
    <w:nsid w:val="0C473ABB"/>
    <w:multiLevelType w:val="hybridMultilevel"/>
    <w:tmpl w:val="A11EA266"/>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0721D60"/>
    <w:multiLevelType w:val="hybridMultilevel"/>
    <w:tmpl w:val="2F3A3E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0C0125C"/>
    <w:multiLevelType w:val="hybridMultilevel"/>
    <w:tmpl w:val="07E2B6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A27808"/>
    <w:multiLevelType w:val="hybridMultilevel"/>
    <w:tmpl w:val="F492509E"/>
    <w:lvl w:ilvl="0" w:tplc="E38606D2">
      <w:start w:val="5"/>
      <w:numFmt w:val="bullet"/>
      <w:lvlText w:val="-"/>
      <w:lvlJc w:val="left"/>
      <w:pPr>
        <w:ind w:left="720" w:hanging="360"/>
      </w:pPr>
      <w:rPr>
        <w:rFonts w:ascii="Calibri" w:eastAsiaTheme="minorHAnsi" w:hAnsi="Calibri" w:cs="Georgi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2BF16C06"/>
    <w:multiLevelType w:val="hybridMultilevel"/>
    <w:tmpl w:val="EF6EEC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EAA6A4F"/>
    <w:multiLevelType w:val="hybridMultilevel"/>
    <w:tmpl w:val="6A56F1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73F27C8"/>
    <w:multiLevelType w:val="hybridMultilevel"/>
    <w:tmpl w:val="ED36E1B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3BEC0AFA"/>
    <w:multiLevelType w:val="hybridMultilevel"/>
    <w:tmpl w:val="6518D7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412B50E4"/>
    <w:multiLevelType w:val="hybridMultilevel"/>
    <w:tmpl w:val="E6D05C52"/>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41D95BF6"/>
    <w:multiLevelType w:val="hybridMultilevel"/>
    <w:tmpl w:val="4A367D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3122B56"/>
    <w:multiLevelType w:val="hybridMultilevel"/>
    <w:tmpl w:val="C1E607AC"/>
    <w:lvl w:ilvl="0" w:tplc="DADA91E0">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5B2E3767"/>
    <w:multiLevelType w:val="multilevel"/>
    <w:tmpl w:val="6F42C4E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D932D3C"/>
    <w:multiLevelType w:val="hybridMultilevel"/>
    <w:tmpl w:val="CFF0BDD8"/>
    <w:lvl w:ilvl="0" w:tplc="F8709F2A">
      <w:start w:val="2"/>
      <w:numFmt w:val="bullet"/>
      <w:lvlText w:val="-"/>
      <w:lvlJc w:val="left"/>
      <w:pPr>
        <w:ind w:left="720" w:hanging="360"/>
      </w:pPr>
      <w:rPr>
        <w:rFonts w:ascii="Arial" w:eastAsiaTheme="minorHAnsi"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5500904"/>
    <w:multiLevelType w:val="hybridMultilevel"/>
    <w:tmpl w:val="12267944"/>
    <w:lvl w:ilvl="0" w:tplc="04050001">
      <w:start w:val="1"/>
      <w:numFmt w:val="bullet"/>
      <w:lvlText w:val=""/>
      <w:lvlJc w:val="left"/>
      <w:pPr>
        <w:ind w:left="2010" w:hanging="360"/>
      </w:pPr>
      <w:rPr>
        <w:rFonts w:ascii="Symbol" w:hAnsi="Symbol" w:hint="default"/>
      </w:rPr>
    </w:lvl>
    <w:lvl w:ilvl="1" w:tplc="04050003" w:tentative="1">
      <w:start w:val="1"/>
      <w:numFmt w:val="bullet"/>
      <w:lvlText w:val="o"/>
      <w:lvlJc w:val="left"/>
      <w:pPr>
        <w:ind w:left="2730" w:hanging="360"/>
      </w:pPr>
      <w:rPr>
        <w:rFonts w:ascii="Courier New" w:hAnsi="Courier New" w:cs="Courier New" w:hint="default"/>
      </w:rPr>
    </w:lvl>
    <w:lvl w:ilvl="2" w:tplc="04050005" w:tentative="1">
      <w:start w:val="1"/>
      <w:numFmt w:val="bullet"/>
      <w:lvlText w:val=""/>
      <w:lvlJc w:val="left"/>
      <w:pPr>
        <w:ind w:left="3450" w:hanging="360"/>
      </w:pPr>
      <w:rPr>
        <w:rFonts w:ascii="Wingdings" w:hAnsi="Wingdings" w:hint="default"/>
      </w:rPr>
    </w:lvl>
    <w:lvl w:ilvl="3" w:tplc="04050001" w:tentative="1">
      <w:start w:val="1"/>
      <w:numFmt w:val="bullet"/>
      <w:lvlText w:val=""/>
      <w:lvlJc w:val="left"/>
      <w:pPr>
        <w:ind w:left="4170" w:hanging="360"/>
      </w:pPr>
      <w:rPr>
        <w:rFonts w:ascii="Symbol" w:hAnsi="Symbol" w:hint="default"/>
      </w:rPr>
    </w:lvl>
    <w:lvl w:ilvl="4" w:tplc="04050003" w:tentative="1">
      <w:start w:val="1"/>
      <w:numFmt w:val="bullet"/>
      <w:lvlText w:val="o"/>
      <w:lvlJc w:val="left"/>
      <w:pPr>
        <w:ind w:left="4890" w:hanging="360"/>
      </w:pPr>
      <w:rPr>
        <w:rFonts w:ascii="Courier New" w:hAnsi="Courier New" w:cs="Courier New" w:hint="default"/>
      </w:rPr>
    </w:lvl>
    <w:lvl w:ilvl="5" w:tplc="04050005" w:tentative="1">
      <w:start w:val="1"/>
      <w:numFmt w:val="bullet"/>
      <w:lvlText w:val=""/>
      <w:lvlJc w:val="left"/>
      <w:pPr>
        <w:ind w:left="5610" w:hanging="360"/>
      </w:pPr>
      <w:rPr>
        <w:rFonts w:ascii="Wingdings" w:hAnsi="Wingdings" w:hint="default"/>
      </w:rPr>
    </w:lvl>
    <w:lvl w:ilvl="6" w:tplc="04050001" w:tentative="1">
      <w:start w:val="1"/>
      <w:numFmt w:val="bullet"/>
      <w:lvlText w:val=""/>
      <w:lvlJc w:val="left"/>
      <w:pPr>
        <w:ind w:left="6330" w:hanging="360"/>
      </w:pPr>
      <w:rPr>
        <w:rFonts w:ascii="Symbol" w:hAnsi="Symbol" w:hint="default"/>
      </w:rPr>
    </w:lvl>
    <w:lvl w:ilvl="7" w:tplc="04050003" w:tentative="1">
      <w:start w:val="1"/>
      <w:numFmt w:val="bullet"/>
      <w:lvlText w:val="o"/>
      <w:lvlJc w:val="left"/>
      <w:pPr>
        <w:ind w:left="7050" w:hanging="360"/>
      </w:pPr>
      <w:rPr>
        <w:rFonts w:ascii="Courier New" w:hAnsi="Courier New" w:cs="Courier New" w:hint="default"/>
      </w:rPr>
    </w:lvl>
    <w:lvl w:ilvl="8" w:tplc="04050005" w:tentative="1">
      <w:start w:val="1"/>
      <w:numFmt w:val="bullet"/>
      <w:lvlText w:val=""/>
      <w:lvlJc w:val="left"/>
      <w:pPr>
        <w:ind w:left="7770" w:hanging="360"/>
      </w:pPr>
      <w:rPr>
        <w:rFonts w:ascii="Wingdings" w:hAnsi="Wingdings" w:hint="default"/>
      </w:rPr>
    </w:lvl>
  </w:abstractNum>
  <w:abstractNum w:abstractNumId="16">
    <w:nsid w:val="6B9C0079"/>
    <w:multiLevelType w:val="hybridMultilevel"/>
    <w:tmpl w:val="58FE61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6E160C54"/>
    <w:multiLevelType w:val="hybridMultilevel"/>
    <w:tmpl w:val="147E78D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nsid w:val="6E2560DD"/>
    <w:multiLevelType w:val="hybridMultilevel"/>
    <w:tmpl w:val="2842DAB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5889"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6EFB5DF8"/>
    <w:multiLevelType w:val="hybridMultilevel"/>
    <w:tmpl w:val="905A3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79B4527C"/>
    <w:multiLevelType w:val="hybridMultilevel"/>
    <w:tmpl w:val="09A4259E"/>
    <w:lvl w:ilvl="0" w:tplc="6CC08642">
      <w:start w:val="508"/>
      <w:numFmt w:val="bullet"/>
      <w:lvlText w:val="-"/>
      <w:lvlJc w:val="left"/>
      <w:pPr>
        <w:ind w:left="360" w:hanging="360"/>
      </w:pPr>
      <w:rPr>
        <w:rFonts w:ascii="Arial" w:eastAsia="Calibri"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16"/>
  </w:num>
  <w:num w:numId="2">
    <w:abstractNumId w:val="12"/>
  </w:num>
  <w:num w:numId="3">
    <w:abstractNumId w:val="13"/>
  </w:num>
  <w:num w:numId="4">
    <w:abstractNumId w:val="2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8"/>
  </w:num>
  <w:num w:numId="8">
    <w:abstractNumId w:val="3"/>
  </w:num>
  <w:num w:numId="9">
    <w:abstractNumId w:val="6"/>
  </w:num>
  <w:num w:numId="10">
    <w:abstractNumId w:val="7"/>
  </w:num>
  <w:num w:numId="11">
    <w:abstractNumId w:val="11"/>
  </w:num>
  <w:num w:numId="12">
    <w:abstractNumId w:val="4"/>
  </w:num>
  <w:num w:numId="13">
    <w:abstractNumId w:val="19"/>
  </w:num>
  <w:num w:numId="14">
    <w:abstractNumId w:val="18"/>
  </w:num>
  <w:num w:numId="15">
    <w:abstractNumId w:val="9"/>
  </w:num>
  <w:num w:numId="16">
    <w:abstractNumId w:val="5"/>
  </w:num>
  <w:num w:numId="17">
    <w:abstractNumId w:val="2"/>
  </w:num>
  <w:num w:numId="18">
    <w:abstractNumId w:val="10"/>
  </w:num>
  <w:num w:numId="19">
    <w:abstractNumId w:val="17"/>
  </w:num>
  <w:num w:numId="20">
    <w:abstractNumId w:val="15"/>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C219A3"/>
    <w:rsid w:val="00041460"/>
    <w:rsid w:val="00092207"/>
    <w:rsid w:val="00096B45"/>
    <w:rsid w:val="000975F5"/>
    <w:rsid w:val="000C1FBA"/>
    <w:rsid w:val="000E0C7B"/>
    <w:rsid w:val="001052EB"/>
    <w:rsid w:val="00120C45"/>
    <w:rsid w:val="00187530"/>
    <w:rsid w:val="001B6314"/>
    <w:rsid w:val="001C68F0"/>
    <w:rsid w:val="001D402D"/>
    <w:rsid w:val="0020310B"/>
    <w:rsid w:val="00233396"/>
    <w:rsid w:val="00237035"/>
    <w:rsid w:val="00244020"/>
    <w:rsid w:val="00273F9E"/>
    <w:rsid w:val="00366E2F"/>
    <w:rsid w:val="00421D4D"/>
    <w:rsid w:val="00465DE7"/>
    <w:rsid w:val="00475AC9"/>
    <w:rsid w:val="004A28BF"/>
    <w:rsid w:val="004B6475"/>
    <w:rsid w:val="004D2A8D"/>
    <w:rsid w:val="00545E5A"/>
    <w:rsid w:val="0056557A"/>
    <w:rsid w:val="005D0B80"/>
    <w:rsid w:val="005E1905"/>
    <w:rsid w:val="0065134B"/>
    <w:rsid w:val="00657F6D"/>
    <w:rsid w:val="0069627B"/>
    <w:rsid w:val="00771D1A"/>
    <w:rsid w:val="007854EE"/>
    <w:rsid w:val="007861DA"/>
    <w:rsid w:val="007A0BA7"/>
    <w:rsid w:val="007B19A8"/>
    <w:rsid w:val="007C486A"/>
    <w:rsid w:val="007E6202"/>
    <w:rsid w:val="008523B5"/>
    <w:rsid w:val="008957E1"/>
    <w:rsid w:val="008C0148"/>
    <w:rsid w:val="008C38E7"/>
    <w:rsid w:val="008E6BC4"/>
    <w:rsid w:val="008F09AA"/>
    <w:rsid w:val="008F14BA"/>
    <w:rsid w:val="00902D0C"/>
    <w:rsid w:val="00906C41"/>
    <w:rsid w:val="00947AB7"/>
    <w:rsid w:val="00953DBF"/>
    <w:rsid w:val="00986B10"/>
    <w:rsid w:val="00996618"/>
    <w:rsid w:val="009B5197"/>
    <w:rsid w:val="009C2D4F"/>
    <w:rsid w:val="009D524A"/>
    <w:rsid w:val="009D7BE4"/>
    <w:rsid w:val="00A44CA3"/>
    <w:rsid w:val="00A45755"/>
    <w:rsid w:val="00A97002"/>
    <w:rsid w:val="00AF119D"/>
    <w:rsid w:val="00AF2CD1"/>
    <w:rsid w:val="00B2439F"/>
    <w:rsid w:val="00B24D78"/>
    <w:rsid w:val="00B707C8"/>
    <w:rsid w:val="00BA252A"/>
    <w:rsid w:val="00C12DC1"/>
    <w:rsid w:val="00C219A3"/>
    <w:rsid w:val="00C43F2E"/>
    <w:rsid w:val="00C44BFF"/>
    <w:rsid w:val="00C45897"/>
    <w:rsid w:val="00C64810"/>
    <w:rsid w:val="00C72AB0"/>
    <w:rsid w:val="00CB3071"/>
    <w:rsid w:val="00CD4E07"/>
    <w:rsid w:val="00D10C22"/>
    <w:rsid w:val="00D12769"/>
    <w:rsid w:val="00D4612E"/>
    <w:rsid w:val="00D54E9B"/>
    <w:rsid w:val="00D57A7D"/>
    <w:rsid w:val="00D60404"/>
    <w:rsid w:val="00DA3B27"/>
    <w:rsid w:val="00DB30E3"/>
    <w:rsid w:val="00DE7D82"/>
    <w:rsid w:val="00DF7BA7"/>
    <w:rsid w:val="00E06251"/>
    <w:rsid w:val="00E33925"/>
    <w:rsid w:val="00E5035A"/>
    <w:rsid w:val="00E55C54"/>
    <w:rsid w:val="00E9643C"/>
    <w:rsid w:val="00EB7579"/>
    <w:rsid w:val="00F03D56"/>
    <w:rsid w:val="00F51EA0"/>
    <w:rsid w:val="00FB6CA0"/>
    <w:rsid w:val="00FC09AA"/>
    <w:rsid w:val="00FD6668"/>
    <w:rsid w:val="00FE4AEE"/>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E07"/>
    <w:pPr>
      <w:spacing w:after="0"/>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9A3"/>
    <w:pPr>
      <w:ind w:left="720"/>
      <w:contextualSpacing/>
    </w:pPr>
  </w:style>
  <w:style w:type="paragraph" w:styleId="Textpoznpodarou">
    <w:name w:val="footnote text"/>
    <w:basedOn w:val="Normln"/>
    <w:link w:val="TextpoznpodarouChar"/>
    <w:uiPriority w:val="99"/>
    <w:semiHidden/>
    <w:unhideWhenUsed/>
    <w:rsid w:val="00C219A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219A3"/>
    <w:rPr>
      <w:rFonts w:ascii="Arial" w:hAnsi="Arial"/>
      <w:sz w:val="20"/>
      <w:szCs w:val="20"/>
    </w:rPr>
  </w:style>
  <w:style w:type="character" w:styleId="Znakapoznpodarou">
    <w:name w:val="footnote reference"/>
    <w:basedOn w:val="Standardnpsmoodstavce"/>
    <w:uiPriority w:val="99"/>
    <w:semiHidden/>
    <w:unhideWhenUsed/>
    <w:rsid w:val="00C219A3"/>
    <w:rPr>
      <w:vertAlign w:val="superscript"/>
    </w:rPr>
  </w:style>
  <w:style w:type="table" w:styleId="Mkatabulky">
    <w:name w:val="Table Grid"/>
    <w:basedOn w:val="Normlntabulka"/>
    <w:uiPriority w:val="59"/>
    <w:rsid w:val="00C219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bubliny">
    <w:name w:val="Balloon Text"/>
    <w:basedOn w:val="Normln"/>
    <w:link w:val="TextbublinyChar"/>
    <w:uiPriority w:val="99"/>
    <w:semiHidden/>
    <w:unhideWhenUsed/>
    <w:rsid w:val="000C1F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FBA"/>
    <w:rPr>
      <w:rFonts w:ascii="Tahoma" w:hAnsi="Tahoma" w:cs="Tahoma"/>
      <w:sz w:val="16"/>
      <w:szCs w:val="16"/>
    </w:rPr>
  </w:style>
  <w:style w:type="paragraph" w:customStyle="1" w:styleId="Default">
    <w:name w:val="Default"/>
    <w:rsid w:val="001B6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hlav">
    <w:name w:val="header"/>
    <w:basedOn w:val="Normln"/>
    <w:link w:val="ZhlavChar"/>
    <w:uiPriority w:val="99"/>
    <w:unhideWhenUsed/>
    <w:rsid w:val="00475AC9"/>
    <w:pPr>
      <w:tabs>
        <w:tab w:val="center" w:pos="4536"/>
        <w:tab w:val="right" w:pos="9072"/>
      </w:tabs>
      <w:spacing w:line="240" w:lineRule="auto"/>
    </w:pPr>
  </w:style>
  <w:style w:type="character" w:customStyle="1" w:styleId="ZhlavChar">
    <w:name w:val="Záhlaví Char"/>
    <w:basedOn w:val="Standardnpsmoodstavce"/>
    <w:link w:val="Zhlav"/>
    <w:uiPriority w:val="99"/>
    <w:rsid w:val="00475AC9"/>
    <w:rPr>
      <w:rFonts w:ascii="Arial" w:hAnsi="Arial"/>
      <w:sz w:val="24"/>
    </w:rPr>
  </w:style>
  <w:style w:type="paragraph" w:styleId="Zpat">
    <w:name w:val="footer"/>
    <w:basedOn w:val="Normln"/>
    <w:link w:val="ZpatChar"/>
    <w:uiPriority w:val="99"/>
    <w:unhideWhenUsed/>
    <w:rsid w:val="00475AC9"/>
    <w:pPr>
      <w:tabs>
        <w:tab w:val="center" w:pos="4536"/>
        <w:tab w:val="right" w:pos="9072"/>
      </w:tabs>
      <w:spacing w:line="240" w:lineRule="auto"/>
    </w:pPr>
  </w:style>
  <w:style w:type="character" w:customStyle="1" w:styleId="ZpatChar">
    <w:name w:val="Zápatí Char"/>
    <w:basedOn w:val="Standardnpsmoodstavce"/>
    <w:link w:val="Zpat"/>
    <w:uiPriority w:val="99"/>
    <w:rsid w:val="00475AC9"/>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D4E07"/>
    <w:pPr>
      <w:spacing w:after="0"/>
      <w:jc w:val="both"/>
    </w:pPr>
    <w:rPr>
      <w:rFonts w:ascii="Arial" w:hAnsi="Arial"/>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C219A3"/>
    <w:pPr>
      <w:ind w:left="720"/>
      <w:contextualSpacing/>
    </w:pPr>
  </w:style>
  <w:style w:type="paragraph" w:styleId="Textpoznpodarou">
    <w:name w:val="footnote text"/>
    <w:basedOn w:val="Normln"/>
    <w:link w:val="TextpoznpodarouChar"/>
    <w:uiPriority w:val="99"/>
    <w:semiHidden/>
    <w:unhideWhenUsed/>
    <w:rsid w:val="00C219A3"/>
    <w:pPr>
      <w:spacing w:line="240" w:lineRule="auto"/>
    </w:pPr>
    <w:rPr>
      <w:sz w:val="20"/>
      <w:szCs w:val="20"/>
    </w:rPr>
  </w:style>
  <w:style w:type="character" w:customStyle="1" w:styleId="TextpoznpodarouChar">
    <w:name w:val="Text pozn. pod čarou Char"/>
    <w:basedOn w:val="Standardnpsmoodstavce"/>
    <w:link w:val="Textpoznpodarou"/>
    <w:uiPriority w:val="99"/>
    <w:semiHidden/>
    <w:rsid w:val="00C219A3"/>
    <w:rPr>
      <w:rFonts w:ascii="Arial" w:hAnsi="Arial"/>
      <w:sz w:val="20"/>
      <w:szCs w:val="20"/>
    </w:rPr>
  </w:style>
  <w:style w:type="character" w:styleId="Znakapoznpodarou">
    <w:name w:val="footnote reference"/>
    <w:basedOn w:val="Standardnpsmoodstavce"/>
    <w:uiPriority w:val="99"/>
    <w:semiHidden/>
    <w:unhideWhenUsed/>
    <w:rsid w:val="00C219A3"/>
    <w:rPr>
      <w:vertAlign w:val="superscript"/>
    </w:rPr>
  </w:style>
  <w:style w:type="table" w:styleId="Mkatabulky">
    <w:name w:val="Table Grid"/>
    <w:basedOn w:val="Normlntabulka"/>
    <w:uiPriority w:val="59"/>
    <w:rsid w:val="00C219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0C1FBA"/>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C1FBA"/>
    <w:rPr>
      <w:rFonts w:ascii="Tahoma" w:hAnsi="Tahoma" w:cs="Tahoma"/>
      <w:sz w:val="16"/>
      <w:szCs w:val="16"/>
    </w:rPr>
  </w:style>
  <w:style w:type="paragraph" w:customStyle="1" w:styleId="Default">
    <w:name w:val="Default"/>
    <w:rsid w:val="001B631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Zhlav">
    <w:name w:val="header"/>
    <w:basedOn w:val="Normln"/>
    <w:link w:val="ZhlavChar"/>
    <w:uiPriority w:val="99"/>
    <w:unhideWhenUsed/>
    <w:rsid w:val="00475AC9"/>
    <w:pPr>
      <w:tabs>
        <w:tab w:val="center" w:pos="4536"/>
        <w:tab w:val="right" w:pos="9072"/>
      </w:tabs>
      <w:spacing w:line="240" w:lineRule="auto"/>
    </w:pPr>
  </w:style>
  <w:style w:type="character" w:customStyle="1" w:styleId="ZhlavChar">
    <w:name w:val="Záhlaví Char"/>
    <w:basedOn w:val="Standardnpsmoodstavce"/>
    <w:link w:val="Zhlav"/>
    <w:uiPriority w:val="99"/>
    <w:rsid w:val="00475AC9"/>
    <w:rPr>
      <w:rFonts w:ascii="Arial" w:hAnsi="Arial"/>
      <w:sz w:val="24"/>
    </w:rPr>
  </w:style>
  <w:style w:type="paragraph" w:styleId="Zpat">
    <w:name w:val="footer"/>
    <w:basedOn w:val="Normln"/>
    <w:link w:val="ZpatChar"/>
    <w:uiPriority w:val="99"/>
    <w:unhideWhenUsed/>
    <w:rsid w:val="00475AC9"/>
    <w:pPr>
      <w:tabs>
        <w:tab w:val="center" w:pos="4536"/>
        <w:tab w:val="right" w:pos="9072"/>
      </w:tabs>
      <w:spacing w:line="240" w:lineRule="auto"/>
    </w:pPr>
  </w:style>
  <w:style w:type="character" w:customStyle="1" w:styleId="ZpatChar">
    <w:name w:val="Zápatí Char"/>
    <w:basedOn w:val="Standardnpsmoodstavce"/>
    <w:link w:val="Zpat"/>
    <w:uiPriority w:val="99"/>
    <w:rsid w:val="00475AC9"/>
    <w:rPr>
      <w:rFonts w:ascii="Arial" w:hAnsi="Arial"/>
      <w:sz w:val="24"/>
    </w:rPr>
  </w:style>
</w:styles>
</file>

<file path=word/webSettings.xml><?xml version="1.0" encoding="utf-8"?>
<w:webSettings xmlns:r="http://schemas.openxmlformats.org/officeDocument/2006/relationships" xmlns:w="http://schemas.openxmlformats.org/wordprocessingml/2006/main">
  <w:divs>
    <w:div w:id="5719434">
      <w:bodyDiv w:val="1"/>
      <w:marLeft w:val="0"/>
      <w:marRight w:val="0"/>
      <w:marTop w:val="0"/>
      <w:marBottom w:val="0"/>
      <w:divBdr>
        <w:top w:val="none" w:sz="0" w:space="0" w:color="auto"/>
        <w:left w:val="none" w:sz="0" w:space="0" w:color="auto"/>
        <w:bottom w:val="none" w:sz="0" w:space="0" w:color="auto"/>
        <w:right w:val="none" w:sz="0" w:space="0" w:color="auto"/>
      </w:divBdr>
    </w:div>
    <w:div w:id="106966568">
      <w:bodyDiv w:val="1"/>
      <w:marLeft w:val="0"/>
      <w:marRight w:val="0"/>
      <w:marTop w:val="0"/>
      <w:marBottom w:val="0"/>
      <w:divBdr>
        <w:top w:val="none" w:sz="0" w:space="0" w:color="auto"/>
        <w:left w:val="none" w:sz="0" w:space="0" w:color="auto"/>
        <w:bottom w:val="none" w:sz="0" w:space="0" w:color="auto"/>
        <w:right w:val="none" w:sz="0" w:space="0" w:color="auto"/>
      </w:divBdr>
      <w:divsChild>
        <w:div w:id="2022005106">
          <w:marLeft w:val="0"/>
          <w:marRight w:val="0"/>
          <w:marTop w:val="0"/>
          <w:marBottom w:val="0"/>
          <w:divBdr>
            <w:top w:val="none" w:sz="0" w:space="0" w:color="auto"/>
            <w:left w:val="none" w:sz="0" w:space="0" w:color="auto"/>
            <w:bottom w:val="none" w:sz="0" w:space="0" w:color="auto"/>
            <w:right w:val="none" w:sz="0" w:space="0" w:color="auto"/>
          </w:divBdr>
          <w:divsChild>
            <w:div w:id="766658858">
              <w:marLeft w:val="0"/>
              <w:marRight w:val="0"/>
              <w:marTop w:val="0"/>
              <w:marBottom w:val="0"/>
              <w:divBdr>
                <w:top w:val="none" w:sz="0" w:space="0" w:color="auto"/>
                <w:left w:val="none" w:sz="0" w:space="0" w:color="auto"/>
                <w:bottom w:val="none" w:sz="0" w:space="0" w:color="auto"/>
                <w:right w:val="none" w:sz="0" w:space="0" w:color="auto"/>
              </w:divBdr>
              <w:divsChild>
                <w:div w:id="2034719211">
                  <w:marLeft w:val="0"/>
                  <w:marRight w:val="0"/>
                  <w:marTop w:val="0"/>
                  <w:marBottom w:val="0"/>
                  <w:divBdr>
                    <w:top w:val="none" w:sz="0" w:space="0" w:color="auto"/>
                    <w:left w:val="none" w:sz="0" w:space="0" w:color="auto"/>
                    <w:bottom w:val="none" w:sz="0" w:space="0" w:color="auto"/>
                    <w:right w:val="none" w:sz="0" w:space="0" w:color="auto"/>
                  </w:divBdr>
                  <w:divsChild>
                    <w:div w:id="2098625224">
                      <w:marLeft w:val="0"/>
                      <w:marRight w:val="0"/>
                      <w:marTop w:val="0"/>
                      <w:marBottom w:val="0"/>
                      <w:divBdr>
                        <w:top w:val="none" w:sz="0" w:space="0" w:color="auto"/>
                        <w:left w:val="none" w:sz="0" w:space="0" w:color="auto"/>
                        <w:bottom w:val="none" w:sz="0" w:space="0" w:color="auto"/>
                        <w:right w:val="none" w:sz="0" w:space="0" w:color="auto"/>
                      </w:divBdr>
                      <w:divsChild>
                        <w:div w:id="1908417842">
                          <w:marLeft w:val="0"/>
                          <w:marRight w:val="0"/>
                          <w:marTop w:val="0"/>
                          <w:marBottom w:val="0"/>
                          <w:divBdr>
                            <w:top w:val="none" w:sz="0" w:space="0" w:color="auto"/>
                            <w:left w:val="none" w:sz="0" w:space="0" w:color="auto"/>
                            <w:bottom w:val="none" w:sz="0" w:space="0" w:color="auto"/>
                            <w:right w:val="none" w:sz="0" w:space="0" w:color="auto"/>
                          </w:divBdr>
                          <w:divsChild>
                            <w:div w:id="1483501655">
                              <w:marLeft w:val="0"/>
                              <w:marRight w:val="0"/>
                              <w:marTop w:val="0"/>
                              <w:marBottom w:val="0"/>
                              <w:divBdr>
                                <w:top w:val="none" w:sz="0" w:space="0" w:color="auto"/>
                                <w:left w:val="none" w:sz="0" w:space="0" w:color="auto"/>
                                <w:bottom w:val="none" w:sz="0" w:space="0" w:color="auto"/>
                                <w:right w:val="none" w:sz="0" w:space="0" w:color="auto"/>
                              </w:divBdr>
                              <w:divsChild>
                                <w:div w:id="811099566">
                                  <w:marLeft w:val="0"/>
                                  <w:marRight w:val="0"/>
                                  <w:marTop w:val="0"/>
                                  <w:marBottom w:val="0"/>
                                  <w:divBdr>
                                    <w:top w:val="none" w:sz="0" w:space="0" w:color="auto"/>
                                    <w:left w:val="none" w:sz="0" w:space="0" w:color="auto"/>
                                    <w:bottom w:val="none" w:sz="0" w:space="0" w:color="auto"/>
                                    <w:right w:val="none" w:sz="0" w:space="0" w:color="auto"/>
                                  </w:divBdr>
                                  <w:divsChild>
                                    <w:div w:id="666246404">
                                      <w:marLeft w:val="0"/>
                                      <w:marRight w:val="0"/>
                                      <w:marTop w:val="0"/>
                                      <w:marBottom w:val="0"/>
                                      <w:divBdr>
                                        <w:top w:val="none" w:sz="0" w:space="0" w:color="auto"/>
                                        <w:left w:val="none" w:sz="0" w:space="0" w:color="auto"/>
                                        <w:bottom w:val="none" w:sz="0" w:space="0" w:color="auto"/>
                                        <w:right w:val="none" w:sz="0" w:space="0" w:color="auto"/>
                                      </w:divBdr>
                                      <w:divsChild>
                                        <w:div w:id="914898496">
                                          <w:marLeft w:val="0"/>
                                          <w:marRight w:val="0"/>
                                          <w:marTop w:val="0"/>
                                          <w:marBottom w:val="0"/>
                                          <w:divBdr>
                                            <w:top w:val="none" w:sz="0" w:space="0" w:color="auto"/>
                                            <w:left w:val="none" w:sz="0" w:space="0" w:color="auto"/>
                                            <w:bottom w:val="none" w:sz="0" w:space="0" w:color="auto"/>
                                            <w:right w:val="none" w:sz="0" w:space="0" w:color="auto"/>
                                          </w:divBdr>
                                          <w:divsChild>
                                            <w:div w:id="54591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01648451">
      <w:bodyDiv w:val="1"/>
      <w:marLeft w:val="0"/>
      <w:marRight w:val="0"/>
      <w:marTop w:val="0"/>
      <w:marBottom w:val="0"/>
      <w:divBdr>
        <w:top w:val="none" w:sz="0" w:space="0" w:color="auto"/>
        <w:left w:val="none" w:sz="0" w:space="0" w:color="auto"/>
        <w:bottom w:val="none" w:sz="0" w:space="0" w:color="auto"/>
        <w:right w:val="none" w:sz="0" w:space="0" w:color="auto"/>
      </w:divBdr>
      <w:divsChild>
        <w:div w:id="831918169">
          <w:marLeft w:val="0"/>
          <w:marRight w:val="0"/>
          <w:marTop w:val="0"/>
          <w:marBottom w:val="0"/>
          <w:divBdr>
            <w:top w:val="none" w:sz="0" w:space="0" w:color="auto"/>
            <w:left w:val="none" w:sz="0" w:space="0" w:color="auto"/>
            <w:bottom w:val="none" w:sz="0" w:space="0" w:color="auto"/>
            <w:right w:val="none" w:sz="0" w:space="0" w:color="auto"/>
          </w:divBdr>
          <w:divsChild>
            <w:div w:id="1030254134">
              <w:marLeft w:val="0"/>
              <w:marRight w:val="0"/>
              <w:marTop w:val="0"/>
              <w:marBottom w:val="0"/>
              <w:divBdr>
                <w:top w:val="none" w:sz="0" w:space="0" w:color="auto"/>
                <w:left w:val="none" w:sz="0" w:space="0" w:color="auto"/>
                <w:bottom w:val="none" w:sz="0" w:space="0" w:color="auto"/>
                <w:right w:val="none" w:sz="0" w:space="0" w:color="auto"/>
              </w:divBdr>
              <w:divsChild>
                <w:div w:id="89084728">
                  <w:marLeft w:val="0"/>
                  <w:marRight w:val="0"/>
                  <w:marTop w:val="0"/>
                  <w:marBottom w:val="0"/>
                  <w:divBdr>
                    <w:top w:val="none" w:sz="0" w:space="0" w:color="auto"/>
                    <w:left w:val="none" w:sz="0" w:space="0" w:color="auto"/>
                    <w:bottom w:val="none" w:sz="0" w:space="0" w:color="auto"/>
                    <w:right w:val="none" w:sz="0" w:space="0" w:color="auto"/>
                  </w:divBdr>
                  <w:divsChild>
                    <w:div w:id="1050232734">
                      <w:marLeft w:val="0"/>
                      <w:marRight w:val="0"/>
                      <w:marTop w:val="0"/>
                      <w:marBottom w:val="0"/>
                      <w:divBdr>
                        <w:top w:val="none" w:sz="0" w:space="0" w:color="auto"/>
                        <w:left w:val="none" w:sz="0" w:space="0" w:color="auto"/>
                        <w:bottom w:val="none" w:sz="0" w:space="0" w:color="auto"/>
                        <w:right w:val="none" w:sz="0" w:space="0" w:color="auto"/>
                      </w:divBdr>
                      <w:divsChild>
                        <w:div w:id="1954050735">
                          <w:marLeft w:val="0"/>
                          <w:marRight w:val="0"/>
                          <w:marTop w:val="0"/>
                          <w:marBottom w:val="0"/>
                          <w:divBdr>
                            <w:top w:val="none" w:sz="0" w:space="0" w:color="auto"/>
                            <w:left w:val="none" w:sz="0" w:space="0" w:color="auto"/>
                            <w:bottom w:val="none" w:sz="0" w:space="0" w:color="auto"/>
                            <w:right w:val="none" w:sz="0" w:space="0" w:color="auto"/>
                          </w:divBdr>
                          <w:divsChild>
                            <w:div w:id="1759791519">
                              <w:marLeft w:val="0"/>
                              <w:marRight w:val="0"/>
                              <w:marTop w:val="0"/>
                              <w:marBottom w:val="0"/>
                              <w:divBdr>
                                <w:top w:val="none" w:sz="0" w:space="0" w:color="auto"/>
                                <w:left w:val="none" w:sz="0" w:space="0" w:color="auto"/>
                                <w:bottom w:val="none" w:sz="0" w:space="0" w:color="auto"/>
                                <w:right w:val="none" w:sz="0" w:space="0" w:color="auto"/>
                              </w:divBdr>
                              <w:divsChild>
                                <w:div w:id="743337290">
                                  <w:marLeft w:val="0"/>
                                  <w:marRight w:val="0"/>
                                  <w:marTop w:val="0"/>
                                  <w:marBottom w:val="0"/>
                                  <w:divBdr>
                                    <w:top w:val="none" w:sz="0" w:space="0" w:color="auto"/>
                                    <w:left w:val="none" w:sz="0" w:space="0" w:color="auto"/>
                                    <w:bottom w:val="none" w:sz="0" w:space="0" w:color="auto"/>
                                    <w:right w:val="none" w:sz="0" w:space="0" w:color="auto"/>
                                  </w:divBdr>
                                  <w:divsChild>
                                    <w:div w:id="481627191">
                                      <w:marLeft w:val="0"/>
                                      <w:marRight w:val="0"/>
                                      <w:marTop w:val="0"/>
                                      <w:marBottom w:val="0"/>
                                      <w:divBdr>
                                        <w:top w:val="none" w:sz="0" w:space="0" w:color="auto"/>
                                        <w:left w:val="none" w:sz="0" w:space="0" w:color="auto"/>
                                        <w:bottom w:val="none" w:sz="0" w:space="0" w:color="auto"/>
                                        <w:right w:val="none" w:sz="0" w:space="0" w:color="auto"/>
                                      </w:divBdr>
                                      <w:divsChild>
                                        <w:div w:id="410124739">
                                          <w:marLeft w:val="0"/>
                                          <w:marRight w:val="0"/>
                                          <w:marTop w:val="0"/>
                                          <w:marBottom w:val="0"/>
                                          <w:divBdr>
                                            <w:top w:val="none" w:sz="0" w:space="0" w:color="auto"/>
                                            <w:left w:val="none" w:sz="0" w:space="0" w:color="auto"/>
                                            <w:bottom w:val="none" w:sz="0" w:space="0" w:color="auto"/>
                                            <w:right w:val="none" w:sz="0" w:space="0" w:color="auto"/>
                                          </w:divBdr>
                                          <w:divsChild>
                                            <w:div w:id="6830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45039358">
      <w:bodyDiv w:val="1"/>
      <w:marLeft w:val="0"/>
      <w:marRight w:val="0"/>
      <w:marTop w:val="0"/>
      <w:marBottom w:val="0"/>
      <w:divBdr>
        <w:top w:val="none" w:sz="0" w:space="0" w:color="auto"/>
        <w:left w:val="none" w:sz="0" w:space="0" w:color="auto"/>
        <w:bottom w:val="none" w:sz="0" w:space="0" w:color="auto"/>
        <w:right w:val="none" w:sz="0" w:space="0" w:color="auto"/>
      </w:divBdr>
    </w:div>
    <w:div w:id="1030960361">
      <w:bodyDiv w:val="1"/>
      <w:marLeft w:val="0"/>
      <w:marRight w:val="0"/>
      <w:marTop w:val="0"/>
      <w:marBottom w:val="0"/>
      <w:divBdr>
        <w:top w:val="none" w:sz="0" w:space="0" w:color="auto"/>
        <w:left w:val="none" w:sz="0" w:space="0" w:color="auto"/>
        <w:bottom w:val="none" w:sz="0" w:space="0" w:color="auto"/>
        <w:right w:val="none" w:sz="0" w:space="0" w:color="auto"/>
      </w:divBdr>
    </w:div>
    <w:div w:id="1339457317">
      <w:bodyDiv w:val="1"/>
      <w:marLeft w:val="0"/>
      <w:marRight w:val="0"/>
      <w:marTop w:val="0"/>
      <w:marBottom w:val="0"/>
      <w:divBdr>
        <w:top w:val="none" w:sz="0" w:space="0" w:color="auto"/>
        <w:left w:val="none" w:sz="0" w:space="0" w:color="auto"/>
        <w:bottom w:val="none" w:sz="0" w:space="0" w:color="auto"/>
        <w:right w:val="none" w:sz="0" w:space="0" w:color="auto"/>
      </w:divBdr>
    </w:div>
    <w:div w:id="14763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s-mpa-cls3-spoldisk\spoldisk\SD_o410\o411\Dudek%20Pavel\Kopie%20-%20stavy%202015-2021%200812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s-mpa-cls3-spoldisk\spoldisk\SD_o410\o411\Dudek%20Pavel\Kopie%20-%20stavy%202015-2021%200812201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s-mpa-cls3-spoldisk\spoldisk\SD_o410\o411\Dudek%20Pavel\Kopie%20-%20stavy%202015-2021%200812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sz="1000"/>
            </a:pPr>
            <a:r>
              <a:rPr lang="cs-CZ" sz="1000"/>
              <a:t>vzdělanostní</a:t>
            </a:r>
            <a:r>
              <a:rPr lang="cs-CZ" sz="1000" baseline="0"/>
              <a:t> struktura - odhad</a:t>
            </a:r>
            <a:endParaRPr lang="cs-CZ" sz="1000"/>
          </a:p>
        </c:rich>
      </c:tx>
    </c:title>
    <c:plotArea>
      <c:layout/>
      <c:pieChart>
        <c:varyColors val="1"/>
        <c:ser>
          <c:idx val="0"/>
          <c:order val="0"/>
          <c:dPt>
            <c:idx val="0"/>
            <c:spPr>
              <a:solidFill>
                <a:srgbClr val="92D050"/>
              </a:solidFill>
            </c:spPr>
          </c:dPt>
          <c:dPt>
            <c:idx val="1"/>
            <c:spPr>
              <a:solidFill>
                <a:srgbClr val="00B0F0"/>
              </a:solidFill>
            </c:spPr>
          </c:dPt>
          <c:dPt>
            <c:idx val="2"/>
            <c:spPr>
              <a:solidFill>
                <a:srgbClr val="FF9999"/>
              </a:solidFill>
              <a:ln>
                <a:noFill/>
              </a:ln>
            </c:spPr>
          </c:dPt>
          <c:dPt>
            <c:idx val="3"/>
            <c:spPr>
              <a:solidFill>
                <a:srgbClr val="FF0000"/>
              </a:solidFill>
            </c:spPr>
          </c:dPt>
          <c:dLbls>
            <c:showCatName val="1"/>
            <c:showPercent val="1"/>
            <c:showLeaderLines val="1"/>
          </c:dLbls>
          <c:cat>
            <c:strRef>
              <c:f>List1!$A$11:$A$14</c:f>
              <c:strCache>
                <c:ptCount val="4"/>
                <c:pt idx="0">
                  <c:v>VŠ</c:v>
                </c:pt>
                <c:pt idx="1">
                  <c:v>SŠ s mat</c:v>
                </c:pt>
                <c:pt idx="2">
                  <c:v>Vyuč</c:v>
                </c:pt>
                <c:pt idx="3">
                  <c:v>ZŠ</c:v>
                </c:pt>
              </c:strCache>
            </c:strRef>
          </c:cat>
          <c:val>
            <c:numRef>
              <c:f>List1!$B$11:$B$14</c:f>
              <c:numCache>
                <c:formatCode>General</c:formatCode>
                <c:ptCount val="4"/>
                <c:pt idx="0">
                  <c:v>8</c:v>
                </c:pt>
                <c:pt idx="1">
                  <c:v>27</c:v>
                </c:pt>
                <c:pt idx="2">
                  <c:v>59</c:v>
                </c:pt>
                <c:pt idx="3">
                  <c:v>6</c:v>
                </c:pt>
              </c:numCache>
            </c:numRef>
          </c:val>
        </c:ser>
        <c:dLbls>
          <c:showCatName val="1"/>
          <c:showPercent val="1"/>
        </c:dLbls>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cs-CZ"/>
  <c:style val="7"/>
  <c:chart>
    <c:title>
      <c:tx>
        <c:rich>
          <a:bodyPr/>
          <a:lstStyle/>
          <a:p>
            <a:pPr>
              <a:defRPr/>
            </a:pPr>
            <a:r>
              <a:rPr lang="cs-CZ" sz="1000"/>
              <a:t>Věková struktura uvolňovaných zaměstnanců v letetch 2016-2021</a:t>
            </a:r>
          </a:p>
        </c:rich>
      </c:tx>
    </c:title>
    <c:plotArea>
      <c:layout/>
      <c:pieChart>
        <c:varyColors val="1"/>
        <c:ser>
          <c:idx val="0"/>
          <c:order val="0"/>
          <c:dPt>
            <c:idx val="0"/>
            <c:spPr>
              <a:solidFill>
                <a:srgbClr val="FFCCFF"/>
              </a:solidFill>
            </c:spPr>
          </c:dPt>
          <c:dPt>
            <c:idx val="1"/>
            <c:spPr>
              <a:solidFill>
                <a:srgbClr val="FF99CC"/>
              </a:solidFill>
            </c:spPr>
          </c:dPt>
          <c:dPt>
            <c:idx val="2"/>
            <c:spPr>
              <a:solidFill>
                <a:srgbClr val="FF0066"/>
              </a:solidFill>
            </c:spPr>
          </c:dPt>
          <c:dPt>
            <c:idx val="3"/>
            <c:spPr>
              <a:solidFill>
                <a:srgbClr val="92D050"/>
              </a:solidFill>
            </c:spPr>
          </c:dPt>
          <c:dPt>
            <c:idx val="4"/>
            <c:spPr>
              <a:solidFill>
                <a:srgbClr val="00B0F0"/>
              </a:solidFill>
            </c:spPr>
          </c:dPt>
          <c:dLbls>
            <c:txPr>
              <a:bodyPr/>
              <a:lstStyle/>
              <a:p>
                <a:pPr>
                  <a:defRPr sz="800"/>
                </a:pPr>
                <a:endParaRPr lang="cs-CZ"/>
              </a:p>
            </c:txPr>
            <c:showCatName val="1"/>
            <c:showPercent val="1"/>
            <c:showLeaderLines val="1"/>
          </c:dLbls>
          <c:cat>
            <c:strRef>
              <c:f>List1!$A$3:$A$7</c:f>
              <c:strCache>
                <c:ptCount val="5"/>
                <c:pt idx="0">
                  <c:v>do 30</c:v>
                </c:pt>
                <c:pt idx="1">
                  <c:v>50-54</c:v>
                </c:pt>
                <c:pt idx="2">
                  <c:v>nad 55</c:v>
                </c:pt>
                <c:pt idx="3">
                  <c:v>důchod</c:v>
                </c:pt>
                <c:pt idx="4">
                  <c:v>31-49</c:v>
                </c:pt>
              </c:strCache>
            </c:strRef>
          </c:cat>
          <c:val>
            <c:numRef>
              <c:f>List1!$B$3:$B$7</c:f>
              <c:numCache>
                <c:formatCode>General</c:formatCode>
                <c:ptCount val="5"/>
                <c:pt idx="0">
                  <c:v>187</c:v>
                </c:pt>
                <c:pt idx="1">
                  <c:v>403</c:v>
                </c:pt>
                <c:pt idx="2">
                  <c:v>231</c:v>
                </c:pt>
                <c:pt idx="3">
                  <c:v>163</c:v>
                </c:pt>
                <c:pt idx="4">
                  <c:v>918</c:v>
                </c:pt>
              </c:numCache>
            </c:numRef>
          </c:val>
        </c:ser>
        <c:dLbls>
          <c:showCatName val="1"/>
          <c:showPercent val="1"/>
        </c:dLbls>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cs-CZ"/>
  <c:chart>
    <c:title>
      <c:tx>
        <c:rich>
          <a:bodyPr/>
          <a:lstStyle/>
          <a:p>
            <a:pPr>
              <a:defRPr/>
            </a:pPr>
            <a:r>
              <a:rPr lang="cs-CZ" sz="1000"/>
              <a:t>Podíly vybraných profesí na celkovém počtu propuštěných zaměstnanců (nad 3 %)</a:t>
            </a:r>
          </a:p>
        </c:rich>
      </c:tx>
    </c:title>
    <c:plotArea>
      <c:layout/>
      <c:pieChart>
        <c:varyColors val="1"/>
        <c:ser>
          <c:idx val="0"/>
          <c:order val="0"/>
          <c:dLbls>
            <c:showCatName val="1"/>
            <c:showPercent val="1"/>
            <c:showLeaderLines val="1"/>
          </c:dLbls>
          <c:cat>
            <c:strRef>
              <c:f>(List1!$A$38:$A$41,List1!$A$47:$A$48,List1!$A$55,List1!$A$57:$A$59,List1!$A$68,List1!$A$69,List1!$A$78)</c:f>
              <c:strCache>
                <c:ptCount val="13"/>
                <c:pt idx="0">
                  <c:v>horník</c:v>
                </c:pt>
                <c:pt idx="1">
                  <c:v>zámečník</c:v>
                </c:pt>
                <c:pt idx="2">
                  <c:v>elektromontér</c:v>
                </c:pt>
                <c:pt idx="3">
                  <c:v>elektrikář</c:v>
                </c:pt>
                <c:pt idx="4">
                  <c:v>dělník na povrchu  hornických provozů</c:v>
                </c:pt>
                <c:pt idx="5">
                  <c:v>technický pracovník</c:v>
                </c:pt>
                <c:pt idx="6">
                  <c:v>řidič pracovních strojů</c:v>
                </c:pt>
                <c:pt idx="7">
                  <c:v>řidič důlních mechanismů </c:v>
                </c:pt>
                <c:pt idx="8">
                  <c:v>pomocný dělník</c:v>
                </c:pt>
                <c:pt idx="9">
                  <c:v>dělník v povrchové těžbě </c:v>
                </c:pt>
                <c:pt idx="10">
                  <c:v>hasič</c:v>
                </c:pt>
                <c:pt idx="11">
                  <c:v>báňský úpravář</c:v>
                </c:pt>
                <c:pt idx="12">
                  <c:v>ostatní</c:v>
                </c:pt>
              </c:strCache>
            </c:strRef>
          </c:cat>
          <c:val>
            <c:numRef>
              <c:f>(List1!$H$38:$H$41,List1!$H$47:$H$48,List1!$H$55,List1!$H$57:$H$59,List1!$H$68,List1!$H$69,List1!$H$78)</c:f>
              <c:numCache>
                <c:formatCode>General</c:formatCode>
                <c:ptCount val="13"/>
                <c:pt idx="0">
                  <c:v>156</c:v>
                </c:pt>
                <c:pt idx="1">
                  <c:v>183</c:v>
                </c:pt>
                <c:pt idx="2">
                  <c:v>71</c:v>
                </c:pt>
                <c:pt idx="3">
                  <c:v>67</c:v>
                </c:pt>
                <c:pt idx="4">
                  <c:v>71</c:v>
                </c:pt>
                <c:pt idx="5">
                  <c:v>127</c:v>
                </c:pt>
                <c:pt idx="6">
                  <c:v>143</c:v>
                </c:pt>
                <c:pt idx="7">
                  <c:v>185</c:v>
                </c:pt>
                <c:pt idx="8">
                  <c:v>53</c:v>
                </c:pt>
                <c:pt idx="9">
                  <c:v>82</c:v>
                </c:pt>
                <c:pt idx="10">
                  <c:v>52</c:v>
                </c:pt>
                <c:pt idx="11">
                  <c:v>204</c:v>
                </c:pt>
                <c:pt idx="12">
                  <c:v>458</c:v>
                </c:pt>
              </c:numCache>
            </c:numRef>
          </c:val>
        </c:ser>
        <c:dLbls>
          <c:showCatName val="1"/>
          <c:showPercent val="1"/>
        </c:dLbls>
        <c:firstSliceAng val="0"/>
      </c:pieChart>
    </c:plotArea>
    <c:plotVisOnly val="1"/>
    <c:dispBlanksAs val="zero"/>
  </c:chart>
  <c:externalData r:id="rId1"/>
</c:chartSpace>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C1CC6-5B50-4B7A-A266-B17E10351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4529</Words>
  <Characters>26724</Characters>
  <Application>Microsoft Office Word</Application>
  <DocSecurity>0</DocSecurity>
  <Lines>222</Lines>
  <Paragraphs>62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Dudek Pavel Mgr. (MPSV)</dc:creator>
  <cp:lastModifiedBy>OSPZV3 ospzv3</cp:lastModifiedBy>
  <cp:revision>2</cp:revision>
  <cp:lastPrinted>2016-07-19T11:19:00Z</cp:lastPrinted>
  <dcterms:created xsi:type="dcterms:W3CDTF">2016-07-19T11:20:00Z</dcterms:created>
  <dcterms:modified xsi:type="dcterms:W3CDTF">2016-07-19T11:20:00Z</dcterms:modified>
</cp:coreProperties>
</file>