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6F" w:rsidRPr="00C605D8" w:rsidRDefault="00363BBB" w:rsidP="008D41BF">
      <w:pPr>
        <w:pStyle w:val="Seznam"/>
        <w:ind w:left="644" w:firstLine="0"/>
        <w:jc w:val="right"/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>II.</w:t>
      </w:r>
    </w:p>
    <w:p w:rsidR="00105F6F" w:rsidRPr="00C605D8" w:rsidRDefault="00105F6F" w:rsidP="008D41BF">
      <w:pPr>
        <w:pStyle w:val="Seznam"/>
        <w:ind w:left="644" w:firstLine="0"/>
        <w:jc w:val="right"/>
        <w:rPr>
          <w:rFonts w:ascii="Arial" w:hAnsi="Arial" w:cs="Arial"/>
          <w:b/>
          <w:szCs w:val="36"/>
        </w:rPr>
      </w:pPr>
    </w:p>
    <w:p w:rsidR="00501C60" w:rsidRDefault="00501C60" w:rsidP="008D41BF">
      <w:pPr>
        <w:pStyle w:val="Seznam"/>
        <w:ind w:left="644"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01C60" w:rsidRDefault="00501C60" w:rsidP="008D41BF">
      <w:pPr>
        <w:pStyle w:val="Seznam"/>
        <w:ind w:left="644"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01C60" w:rsidRDefault="00501C60" w:rsidP="008D41BF">
      <w:pPr>
        <w:pStyle w:val="Seznam"/>
        <w:ind w:left="644"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01C60" w:rsidRDefault="00501C60" w:rsidP="008D41BF">
      <w:pPr>
        <w:pStyle w:val="Seznam"/>
        <w:ind w:left="644"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01C60" w:rsidRDefault="00501C60" w:rsidP="008D41BF">
      <w:pPr>
        <w:pStyle w:val="Seznam"/>
        <w:ind w:left="644"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01C60" w:rsidRDefault="00501C60" w:rsidP="008D41BF">
      <w:pPr>
        <w:pStyle w:val="Seznam"/>
        <w:ind w:left="644"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01C60" w:rsidRDefault="00501C60" w:rsidP="008D41BF">
      <w:pPr>
        <w:pStyle w:val="Seznam"/>
        <w:ind w:left="644"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A46E7" w:rsidRPr="00C605D8" w:rsidRDefault="003A46E7" w:rsidP="008D41BF">
      <w:pPr>
        <w:pStyle w:val="Seznam"/>
        <w:ind w:left="644"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C605D8">
        <w:rPr>
          <w:rFonts w:ascii="Arial" w:hAnsi="Arial" w:cs="Arial"/>
          <w:b/>
          <w:sz w:val="36"/>
          <w:szCs w:val="36"/>
          <w:u w:val="single"/>
        </w:rPr>
        <w:t>Analýza nabídky a poptávky na trhu práce</w:t>
      </w:r>
    </w:p>
    <w:p w:rsidR="00501C60" w:rsidRDefault="00501C60">
      <w:pPr>
        <w:spacing w:after="200"/>
        <w:jc w:val="left"/>
        <w:rPr>
          <w:rFonts w:cs="Arial"/>
          <w:b/>
          <w:sz w:val="28"/>
          <w:szCs w:val="24"/>
          <w:u w:val="single"/>
          <w:lang w:eastAsia="cs-CZ"/>
        </w:rPr>
      </w:pPr>
      <w:r>
        <w:rPr>
          <w:rFonts w:cs="Arial"/>
          <w:b/>
          <w:sz w:val="28"/>
          <w:u w:val="single"/>
        </w:rPr>
        <w:br w:type="page"/>
      </w:r>
    </w:p>
    <w:p w:rsidR="00D808F8" w:rsidRPr="00C605D8" w:rsidRDefault="009C5C6A" w:rsidP="008D41BF">
      <w:pPr>
        <w:pStyle w:val="Seznam"/>
        <w:numPr>
          <w:ilvl w:val="0"/>
          <w:numId w:val="8"/>
        </w:numPr>
        <w:rPr>
          <w:rFonts w:ascii="Arial" w:hAnsi="Arial" w:cs="Arial"/>
          <w:b/>
          <w:sz w:val="28"/>
          <w:u w:val="single"/>
        </w:rPr>
      </w:pPr>
      <w:r w:rsidRPr="00C605D8">
        <w:rPr>
          <w:rFonts w:ascii="Arial" w:hAnsi="Arial" w:cs="Arial"/>
          <w:b/>
          <w:sz w:val="28"/>
          <w:u w:val="single"/>
        </w:rPr>
        <w:lastRenderedPageBreak/>
        <w:t>Nabídka a poptávka na trhu práce</w:t>
      </w:r>
    </w:p>
    <w:p w:rsidR="009C5C6A" w:rsidRPr="00C605D8" w:rsidRDefault="009C5C6A" w:rsidP="008D41BF">
      <w:pPr>
        <w:pStyle w:val="Seznam"/>
        <w:rPr>
          <w:rFonts w:ascii="Arial" w:hAnsi="Arial" w:cs="Arial"/>
          <w:b/>
          <w:sz w:val="28"/>
          <w:u w:val="single"/>
        </w:rPr>
      </w:pPr>
    </w:p>
    <w:p w:rsidR="009C5C6A" w:rsidRPr="00C605D8" w:rsidRDefault="009C5C6A" w:rsidP="008D41BF">
      <w:pPr>
        <w:pStyle w:val="Seznam"/>
        <w:rPr>
          <w:rFonts w:ascii="Arial" w:hAnsi="Arial" w:cs="Arial"/>
          <w:b/>
        </w:rPr>
      </w:pPr>
      <w:r w:rsidRPr="00C605D8">
        <w:rPr>
          <w:rFonts w:ascii="Arial" w:hAnsi="Arial" w:cs="Arial"/>
          <w:b/>
        </w:rPr>
        <w:t>1.1 Aktuální stav</w:t>
      </w:r>
      <w:r w:rsidR="00E1434F" w:rsidRPr="00C605D8">
        <w:rPr>
          <w:rFonts w:ascii="Arial" w:hAnsi="Arial" w:cs="Arial"/>
          <w:b/>
        </w:rPr>
        <w:t xml:space="preserve"> – poptávka po pracovní síle</w:t>
      </w:r>
    </w:p>
    <w:p w:rsidR="00D808F8" w:rsidRPr="00C605D8" w:rsidRDefault="00D808F8" w:rsidP="008D41BF">
      <w:pPr>
        <w:pStyle w:val="Seznam"/>
        <w:ind w:left="0" w:firstLine="708"/>
        <w:jc w:val="both"/>
        <w:rPr>
          <w:rFonts w:ascii="Arial" w:hAnsi="Arial" w:cs="Arial"/>
        </w:rPr>
      </w:pPr>
    </w:p>
    <w:p w:rsidR="00D808F8" w:rsidRPr="00C605D8" w:rsidRDefault="00D808F8" w:rsidP="008D41BF">
      <w:pPr>
        <w:pStyle w:val="Seznam"/>
        <w:spacing w:after="120"/>
        <w:ind w:left="0" w:firstLine="0"/>
        <w:jc w:val="both"/>
        <w:rPr>
          <w:rFonts w:ascii="Arial" w:hAnsi="Arial" w:cs="Arial"/>
        </w:rPr>
      </w:pPr>
      <w:r w:rsidRPr="00C605D8">
        <w:rPr>
          <w:rFonts w:ascii="Arial" w:hAnsi="Arial" w:cs="Arial"/>
        </w:rPr>
        <w:t>K 3</w:t>
      </w:r>
      <w:r w:rsidR="001C6B01" w:rsidRPr="00C605D8">
        <w:rPr>
          <w:rFonts w:ascii="Arial" w:hAnsi="Arial" w:cs="Arial"/>
        </w:rPr>
        <w:t>1</w:t>
      </w:r>
      <w:r w:rsidRPr="00C605D8">
        <w:rPr>
          <w:rFonts w:ascii="Arial" w:hAnsi="Arial" w:cs="Arial"/>
        </w:rPr>
        <w:t>. </w:t>
      </w:r>
      <w:r w:rsidR="001C6B01" w:rsidRPr="00C605D8">
        <w:rPr>
          <w:rFonts w:ascii="Arial" w:hAnsi="Arial" w:cs="Arial"/>
        </w:rPr>
        <w:t xml:space="preserve">12. </w:t>
      </w:r>
      <w:r w:rsidRPr="00C605D8">
        <w:rPr>
          <w:rFonts w:ascii="Arial" w:hAnsi="Arial" w:cs="Arial"/>
        </w:rPr>
        <w:t xml:space="preserve"> 2015 bylo na pracovištích </w:t>
      </w:r>
      <w:r w:rsidR="001A4A7D">
        <w:rPr>
          <w:rFonts w:ascii="Arial" w:hAnsi="Arial" w:cs="Arial"/>
        </w:rPr>
        <w:t>Úřadu práce České republiky (</w:t>
      </w:r>
      <w:r w:rsidRPr="00C605D8">
        <w:rPr>
          <w:rFonts w:ascii="Arial" w:hAnsi="Arial" w:cs="Arial"/>
        </w:rPr>
        <w:t>ÚP ČR</w:t>
      </w:r>
      <w:r w:rsidR="001A4A7D">
        <w:rPr>
          <w:rFonts w:ascii="Arial" w:hAnsi="Arial" w:cs="Arial"/>
        </w:rPr>
        <w:t>)</w:t>
      </w:r>
      <w:r w:rsidRPr="00C605D8">
        <w:rPr>
          <w:rFonts w:ascii="Arial" w:hAnsi="Arial" w:cs="Arial"/>
        </w:rPr>
        <w:t xml:space="preserve"> evidováno 4</w:t>
      </w:r>
      <w:r w:rsidR="001C6B01" w:rsidRPr="00C605D8">
        <w:rPr>
          <w:rFonts w:ascii="Arial" w:hAnsi="Arial" w:cs="Arial"/>
        </w:rPr>
        <w:t>53</w:t>
      </w:r>
      <w:r w:rsidRPr="00C605D8">
        <w:rPr>
          <w:rFonts w:ascii="Arial" w:hAnsi="Arial" w:cs="Arial"/>
        </w:rPr>
        <w:t>,</w:t>
      </w:r>
      <w:r w:rsidR="001C6B01" w:rsidRPr="00C605D8">
        <w:rPr>
          <w:rFonts w:ascii="Arial" w:hAnsi="Arial" w:cs="Arial"/>
        </w:rPr>
        <w:t>1</w:t>
      </w:r>
      <w:r w:rsidRPr="00C605D8">
        <w:rPr>
          <w:rFonts w:ascii="Arial" w:hAnsi="Arial" w:cs="Arial"/>
        </w:rPr>
        <w:t> tis. uchazečů o zaměstnání (</w:t>
      </w:r>
      <w:proofErr w:type="spellStart"/>
      <w:r w:rsidRPr="00C605D8">
        <w:rPr>
          <w:rFonts w:ascii="Arial" w:hAnsi="Arial" w:cs="Arial"/>
        </w:rPr>
        <w:t>UoZ</w:t>
      </w:r>
      <w:proofErr w:type="spellEnd"/>
      <w:r w:rsidRPr="00C605D8">
        <w:rPr>
          <w:rFonts w:ascii="Arial" w:hAnsi="Arial" w:cs="Arial"/>
        </w:rPr>
        <w:t>), me</w:t>
      </w:r>
      <w:r w:rsidR="001A4A7D">
        <w:rPr>
          <w:rFonts w:ascii="Arial" w:hAnsi="Arial" w:cs="Arial"/>
        </w:rPr>
        <w:t>ziročně je jejich počet nižší o </w:t>
      </w:r>
      <w:r w:rsidRPr="00C605D8">
        <w:rPr>
          <w:rFonts w:ascii="Arial" w:hAnsi="Arial" w:cs="Arial"/>
        </w:rPr>
        <w:t>8</w:t>
      </w:r>
      <w:r w:rsidR="001C6B01" w:rsidRPr="00C605D8">
        <w:rPr>
          <w:rFonts w:ascii="Arial" w:hAnsi="Arial" w:cs="Arial"/>
        </w:rPr>
        <w:t>8</w:t>
      </w:r>
      <w:r w:rsidRPr="00C605D8">
        <w:rPr>
          <w:rFonts w:ascii="Arial" w:hAnsi="Arial" w:cs="Arial"/>
        </w:rPr>
        <w:t>,</w:t>
      </w:r>
      <w:r w:rsidR="001C6B01" w:rsidRPr="00C605D8">
        <w:rPr>
          <w:rFonts w:ascii="Arial" w:hAnsi="Arial" w:cs="Arial"/>
        </w:rPr>
        <w:t>8</w:t>
      </w:r>
      <w:r w:rsidRPr="00C605D8">
        <w:rPr>
          <w:rFonts w:ascii="Arial" w:hAnsi="Arial" w:cs="Arial"/>
        </w:rPr>
        <w:t> tis., tj. o 16,</w:t>
      </w:r>
      <w:r w:rsidR="001C6B01" w:rsidRPr="00C605D8">
        <w:rPr>
          <w:rFonts w:ascii="Arial" w:hAnsi="Arial" w:cs="Arial"/>
        </w:rPr>
        <w:t>4</w:t>
      </w:r>
      <w:r w:rsidRPr="00C605D8">
        <w:rPr>
          <w:rFonts w:ascii="Arial" w:hAnsi="Arial" w:cs="Arial"/>
        </w:rPr>
        <w:t> %.</w:t>
      </w:r>
    </w:p>
    <w:p w:rsidR="00D808F8" w:rsidRPr="00C605D8" w:rsidRDefault="00D808F8" w:rsidP="008D41BF">
      <w:pPr>
        <w:pStyle w:val="Seznam"/>
        <w:spacing w:after="120"/>
        <w:ind w:left="0" w:firstLine="0"/>
        <w:jc w:val="both"/>
        <w:rPr>
          <w:rFonts w:ascii="Arial" w:hAnsi="Arial" w:cs="Arial"/>
        </w:rPr>
      </w:pPr>
      <w:r w:rsidRPr="00C605D8">
        <w:rPr>
          <w:rFonts w:ascii="Arial" w:hAnsi="Arial" w:cs="Arial"/>
        </w:rPr>
        <w:t xml:space="preserve">Počty volných pracovních míst (VPM) nahlášených na ÚP ČR se plynule zvyšují, ke konci </w:t>
      </w:r>
      <w:r w:rsidR="001C6B01" w:rsidRPr="00C605D8">
        <w:rPr>
          <w:rFonts w:ascii="Arial" w:hAnsi="Arial" w:cs="Arial"/>
        </w:rPr>
        <w:t>prosince</w:t>
      </w:r>
      <w:r w:rsidRPr="00C605D8">
        <w:rPr>
          <w:rFonts w:ascii="Arial" w:hAnsi="Arial" w:cs="Arial"/>
        </w:rPr>
        <w:t xml:space="preserve"> 2015 jich evidoval ÚP ČR již 10</w:t>
      </w:r>
      <w:r w:rsidR="001C6B01" w:rsidRPr="00C605D8">
        <w:rPr>
          <w:rFonts w:ascii="Arial" w:hAnsi="Arial" w:cs="Arial"/>
        </w:rPr>
        <w:t>2</w:t>
      </w:r>
      <w:r w:rsidRPr="00C605D8">
        <w:rPr>
          <w:rFonts w:ascii="Arial" w:hAnsi="Arial" w:cs="Arial"/>
        </w:rPr>
        <w:t>,</w:t>
      </w:r>
      <w:r w:rsidR="001C6B01" w:rsidRPr="00C605D8">
        <w:rPr>
          <w:rFonts w:ascii="Arial" w:hAnsi="Arial" w:cs="Arial"/>
        </w:rPr>
        <w:t>5</w:t>
      </w:r>
      <w:r w:rsidRPr="00C605D8">
        <w:rPr>
          <w:rFonts w:ascii="Arial" w:hAnsi="Arial" w:cs="Arial"/>
        </w:rPr>
        <w:t xml:space="preserve"> tis., tj. téměř dvojnásobek počtu z konce </w:t>
      </w:r>
      <w:r w:rsidR="001C6B01" w:rsidRPr="00C605D8">
        <w:rPr>
          <w:rFonts w:ascii="Arial" w:hAnsi="Arial" w:cs="Arial"/>
        </w:rPr>
        <w:t>prosince</w:t>
      </w:r>
      <w:r w:rsidRPr="00C605D8">
        <w:rPr>
          <w:rFonts w:ascii="Arial" w:hAnsi="Arial" w:cs="Arial"/>
        </w:rPr>
        <w:t xml:space="preserve"> 2014 (5</w:t>
      </w:r>
      <w:r w:rsidR="001C6B01" w:rsidRPr="00C605D8">
        <w:rPr>
          <w:rFonts w:ascii="Arial" w:hAnsi="Arial" w:cs="Arial"/>
        </w:rPr>
        <w:t>8</w:t>
      </w:r>
      <w:r w:rsidRPr="00C605D8">
        <w:rPr>
          <w:rFonts w:ascii="Arial" w:hAnsi="Arial" w:cs="Arial"/>
        </w:rPr>
        <w:t>,</w:t>
      </w:r>
      <w:r w:rsidR="001C6B01" w:rsidRPr="00C605D8">
        <w:rPr>
          <w:rFonts w:ascii="Arial" w:hAnsi="Arial" w:cs="Arial"/>
        </w:rPr>
        <w:t>7</w:t>
      </w:r>
      <w:r w:rsidRPr="00C605D8">
        <w:rPr>
          <w:rFonts w:ascii="Arial" w:hAnsi="Arial" w:cs="Arial"/>
        </w:rPr>
        <w:t xml:space="preserve"> tis.). </w:t>
      </w:r>
    </w:p>
    <w:p w:rsidR="00D808F8" w:rsidRPr="00C605D8" w:rsidRDefault="00D808F8" w:rsidP="008D41BF">
      <w:pPr>
        <w:spacing w:after="120"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Vzhledem k výraznému nárůstu počtu hlášených VPM a poklesu počtu uchazečů o zaměstnání se převaha nabídky pracovní síly nad poptávkou po ní výrazně snížila. Na 1 volné pracovní místo připadalo v průměru 4,</w:t>
      </w:r>
      <w:r w:rsidR="001C6B01" w:rsidRPr="00C605D8">
        <w:rPr>
          <w:rFonts w:cs="Arial"/>
          <w:szCs w:val="24"/>
        </w:rPr>
        <w:t>4</w:t>
      </w:r>
      <w:r w:rsidRPr="00C605D8">
        <w:rPr>
          <w:rFonts w:cs="Arial"/>
          <w:szCs w:val="24"/>
        </w:rPr>
        <w:t xml:space="preserve"> uchazečů o zaměstnání, zatímco na konci </w:t>
      </w:r>
      <w:r w:rsidR="001C6B01" w:rsidRPr="00C605D8">
        <w:rPr>
          <w:rFonts w:cs="Arial"/>
          <w:szCs w:val="24"/>
        </w:rPr>
        <w:t>prosince</w:t>
      </w:r>
      <w:r w:rsidRPr="00C605D8">
        <w:rPr>
          <w:rFonts w:cs="Arial"/>
          <w:szCs w:val="24"/>
        </w:rPr>
        <w:t xml:space="preserve"> 2014 to bylo 9,</w:t>
      </w:r>
      <w:r w:rsidR="001C6B01" w:rsidRPr="00C605D8">
        <w:rPr>
          <w:rFonts w:cs="Arial"/>
          <w:szCs w:val="24"/>
        </w:rPr>
        <w:t>2</w:t>
      </w:r>
      <w:r w:rsidRPr="00C605D8">
        <w:rPr>
          <w:rFonts w:cs="Arial"/>
          <w:szCs w:val="24"/>
        </w:rPr>
        <w:t xml:space="preserve"> uchazečů. </w:t>
      </w:r>
    </w:p>
    <w:tbl>
      <w:tblPr>
        <w:tblW w:w="8489" w:type="dxa"/>
        <w:jc w:val="center"/>
        <w:tblCellMar>
          <w:left w:w="70" w:type="dxa"/>
          <w:right w:w="70" w:type="dxa"/>
        </w:tblCellMar>
        <w:tblLook w:val="04A0"/>
      </w:tblPr>
      <w:tblGrid>
        <w:gridCol w:w="2569"/>
        <w:gridCol w:w="1480"/>
        <w:gridCol w:w="1480"/>
        <w:gridCol w:w="1480"/>
        <w:gridCol w:w="1480"/>
      </w:tblGrid>
      <w:tr w:rsidR="00D808F8" w:rsidRPr="00C605D8" w:rsidTr="00D808F8">
        <w:trPr>
          <w:trHeight w:val="510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 xml:space="preserve">Podíl </w:t>
            </w:r>
            <w:proofErr w:type="spellStart"/>
            <w:r w:rsidRPr="00C605D8">
              <w:rPr>
                <w:rFonts w:cs="Arial"/>
                <w:sz w:val="20"/>
                <w:szCs w:val="20"/>
              </w:rPr>
              <w:t>nezam</w:t>
            </w:r>
            <w:proofErr w:type="spellEnd"/>
            <w:r w:rsidRPr="00C605D8">
              <w:rPr>
                <w:rFonts w:cs="Arial"/>
                <w:sz w:val="20"/>
                <w:szCs w:val="20"/>
              </w:rPr>
              <w:t>. osob (%)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 xml:space="preserve">Počet </w:t>
            </w:r>
            <w:proofErr w:type="spellStart"/>
            <w:r w:rsidRPr="00C605D8">
              <w:rPr>
                <w:rFonts w:cs="Arial"/>
                <w:sz w:val="20"/>
                <w:szCs w:val="20"/>
              </w:rPr>
              <w:t>UoZ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Počet VPM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 xml:space="preserve">Počet </w:t>
            </w:r>
            <w:proofErr w:type="spellStart"/>
            <w:r w:rsidRPr="00C605D8">
              <w:rPr>
                <w:rFonts w:cs="Arial"/>
                <w:sz w:val="20"/>
                <w:szCs w:val="20"/>
              </w:rPr>
              <w:t>UoZ</w:t>
            </w:r>
            <w:proofErr w:type="spellEnd"/>
            <w:r w:rsidRPr="00C605D8">
              <w:rPr>
                <w:rFonts w:cs="Arial"/>
                <w:sz w:val="20"/>
                <w:szCs w:val="20"/>
              </w:rPr>
              <w:t xml:space="preserve"> na </w:t>
            </w:r>
            <w:r w:rsidRPr="00C605D8">
              <w:rPr>
                <w:rFonts w:cs="Arial"/>
                <w:sz w:val="20"/>
                <w:szCs w:val="20"/>
              </w:rPr>
              <w:br/>
              <w:t>1 VPM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Hl. m. Praha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37 218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15 016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2,5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Středočeský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48 102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13 551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3,5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Jihočeský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22 576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6 867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3,3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Plzeňský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18 587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8 458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2,2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Karlovarský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7,1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14 896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3 277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4,5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Ústecký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8,9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50 778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5 598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9,1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Liberecký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19 507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5 947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3,3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Královéhradecký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18 574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3 932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4,7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Pardubický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18 075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6 168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2,9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Kraj Vysočina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6,2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21 268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3 588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5,9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Jihomoravský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56 032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8 097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6,9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Olomoucký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31 058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5 912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5,3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Zlínský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23 874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5 810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4,1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Moravskoslezský kraj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8,6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72 573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right"/>
              <w:rPr>
                <w:rFonts w:cs="Arial"/>
                <w:bCs/>
                <w:sz w:val="20"/>
                <w:szCs w:val="20"/>
              </w:rPr>
            </w:pPr>
            <w:r w:rsidRPr="00C605D8">
              <w:rPr>
                <w:rFonts w:cs="Arial"/>
                <w:bCs/>
                <w:sz w:val="20"/>
                <w:szCs w:val="20"/>
              </w:rPr>
              <w:t>10 324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7,0</w:t>
            </w:r>
          </w:p>
        </w:tc>
      </w:tr>
      <w:tr w:rsidR="001C6B01" w:rsidRPr="00C605D8" w:rsidTr="001C6B01">
        <w:trPr>
          <w:trHeight w:val="300"/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ČR celkem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113" w:type="dxa"/>
            </w:tcMar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6,2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ind w:firstLineChars="100" w:firstLine="200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453 118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1" w:rsidRPr="00C605D8" w:rsidRDefault="001C6B01" w:rsidP="008D41BF">
            <w:pPr>
              <w:spacing w:line="240" w:lineRule="auto"/>
              <w:ind w:firstLineChars="100" w:firstLine="200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102 545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B01" w:rsidRPr="00C605D8" w:rsidRDefault="001C6B01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4,4</w:t>
            </w:r>
          </w:p>
        </w:tc>
      </w:tr>
    </w:tbl>
    <w:p w:rsidR="00D808F8" w:rsidRPr="00C605D8" w:rsidRDefault="00D808F8" w:rsidP="008D41BF">
      <w:pPr>
        <w:spacing w:after="120" w:line="240" w:lineRule="auto"/>
        <w:ind w:firstLine="708"/>
        <w:rPr>
          <w:rFonts w:cs="Arial"/>
          <w:b/>
          <w:sz w:val="22"/>
        </w:rPr>
      </w:pPr>
    </w:p>
    <w:p w:rsidR="00D808F8" w:rsidRPr="00C605D8" w:rsidRDefault="00D808F8" w:rsidP="008D41BF">
      <w:pPr>
        <w:pStyle w:val="Seznam"/>
        <w:spacing w:after="120"/>
        <w:ind w:left="0" w:firstLine="0"/>
        <w:jc w:val="both"/>
        <w:rPr>
          <w:rFonts w:ascii="Arial" w:hAnsi="Arial" w:cs="Arial"/>
          <w:szCs w:val="22"/>
        </w:rPr>
      </w:pPr>
      <w:r w:rsidRPr="00C605D8">
        <w:rPr>
          <w:rFonts w:ascii="Arial" w:hAnsi="Arial" w:cs="Arial"/>
          <w:szCs w:val="22"/>
        </w:rPr>
        <w:t xml:space="preserve">Výrazně rostoucí počet neobsazených a nabízených volných míst tudíž začíná signalizovat, že další snižování nezaměstnanosti ovlivňují strukturální faktory (např. specifická kvalifikace pracovní síly v určitých regionech, nabídka volných míst v oblastech s nízkou nezaměstnanosti). </w:t>
      </w:r>
    </w:p>
    <w:p w:rsidR="00D808F8" w:rsidRPr="00C605D8" w:rsidRDefault="00D808F8" w:rsidP="008D41BF">
      <w:pPr>
        <w:pStyle w:val="Seznam"/>
        <w:spacing w:after="120"/>
        <w:ind w:left="0" w:firstLine="0"/>
        <w:jc w:val="both"/>
        <w:rPr>
          <w:rFonts w:ascii="Arial" w:hAnsi="Arial" w:cs="Arial"/>
          <w:szCs w:val="22"/>
        </w:rPr>
      </w:pPr>
      <w:r w:rsidRPr="00C605D8">
        <w:rPr>
          <w:rFonts w:ascii="Arial" w:hAnsi="Arial" w:cs="Arial"/>
          <w:szCs w:val="22"/>
        </w:rPr>
        <w:t>Z regionálního pohledu jsou na tom nejlépe Plzeňský</w:t>
      </w:r>
      <w:r w:rsidR="005563C4" w:rsidRPr="00C605D8">
        <w:rPr>
          <w:rFonts w:ascii="Arial" w:hAnsi="Arial" w:cs="Arial"/>
          <w:szCs w:val="22"/>
        </w:rPr>
        <w:t xml:space="preserve"> kraj</w:t>
      </w:r>
      <w:r w:rsidRPr="00C605D8">
        <w:rPr>
          <w:rFonts w:ascii="Arial" w:hAnsi="Arial" w:cs="Arial"/>
          <w:szCs w:val="22"/>
        </w:rPr>
        <w:t xml:space="preserve">, </w:t>
      </w:r>
      <w:r w:rsidR="005563C4" w:rsidRPr="00C605D8">
        <w:rPr>
          <w:rFonts w:ascii="Arial" w:hAnsi="Arial" w:cs="Arial"/>
          <w:szCs w:val="22"/>
        </w:rPr>
        <w:t xml:space="preserve">Hl. m. Praha a </w:t>
      </w:r>
      <w:r w:rsidRPr="00C605D8">
        <w:rPr>
          <w:rFonts w:ascii="Arial" w:hAnsi="Arial" w:cs="Arial"/>
          <w:szCs w:val="22"/>
        </w:rPr>
        <w:t>Pardubický</w:t>
      </w:r>
      <w:r w:rsidR="005563C4" w:rsidRPr="00C605D8">
        <w:rPr>
          <w:rFonts w:ascii="Arial" w:hAnsi="Arial" w:cs="Arial"/>
          <w:szCs w:val="22"/>
        </w:rPr>
        <w:t xml:space="preserve"> kraj</w:t>
      </w:r>
      <w:r w:rsidRPr="00C605D8">
        <w:rPr>
          <w:rFonts w:ascii="Arial" w:hAnsi="Arial" w:cs="Arial"/>
          <w:szCs w:val="22"/>
        </w:rPr>
        <w:t xml:space="preserve">, kde se poměr uchazečů o zaměstnání připadajících na 1 VPM pohybuje </w:t>
      </w:r>
      <w:r w:rsidR="005563C4" w:rsidRPr="00C605D8">
        <w:rPr>
          <w:rFonts w:ascii="Arial" w:hAnsi="Arial" w:cs="Arial"/>
          <w:szCs w:val="22"/>
        </w:rPr>
        <w:t xml:space="preserve">od </w:t>
      </w:r>
      <w:r w:rsidRPr="00C605D8">
        <w:rPr>
          <w:rFonts w:ascii="Arial" w:hAnsi="Arial" w:cs="Arial"/>
          <w:szCs w:val="22"/>
        </w:rPr>
        <w:t>2,2 </w:t>
      </w:r>
      <w:r w:rsidR="005563C4" w:rsidRPr="00C605D8">
        <w:rPr>
          <w:rFonts w:ascii="Arial" w:hAnsi="Arial" w:cs="Arial"/>
          <w:szCs w:val="22"/>
        </w:rPr>
        <w:t>do 2,9</w:t>
      </w:r>
      <w:r w:rsidRPr="00C605D8">
        <w:rPr>
          <w:rFonts w:ascii="Arial" w:hAnsi="Arial" w:cs="Arial"/>
          <w:szCs w:val="22"/>
        </w:rPr>
        <w:t>.</w:t>
      </w:r>
    </w:p>
    <w:p w:rsidR="00D808F8" w:rsidRPr="00C605D8" w:rsidRDefault="001C6B01" w:rsidP="008D41BF">
      <w:pPr>
        <w:spacing w:after="120" w:line="240" w:lineRule="auto"/>
        <w:jc w:val="center"/>
        <w:rPr>
          <w:rFonts w:cs="Arial"/>
          <w:sz w:val="22"/>
        </w:rPr>
      </w:pPr>
      <w:r w:rsidRPr="00C605D8">
        <w:rPr>
          <w:rFonts w:cs="Arial"/>
          <w:noProof/>
          <w:lang w:eastAsia="cs-CZ"/>
        </w:rPr>
        <w:lastRenderedPageBreak/>
        <w:drawing>
          <wp:inline distT="0" distB="0" distL="0" distR="0">
            <wp:extent cx="5114925" cy="3286125"/>
            <wp:effectExtent l="0" t="0" r="9525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08F8" w:rsidRPr="00C605D8" w:rsidRDefault="00D808F8" w:rsidP="008D41BF">
      <w:pPr>
        <w:pStyle w:val="Zkladntextodsazen"/>
        <w:ind w:left="0"/>
        <w:jc w:val="both"/>
        <w:rPr>
          <w:rFonts w:ascii="Arial" w:hAnsi="Arial" w:cs="Arial"/>
        </w:rPr>
      </w:pPr>
      <w:r w:rsidRPr="00C605D8">
        <w:rPr>
          <w:rFonts w:ascii="Arial" w:hAnsi="Arial" w:cs="Arial"/>
          <w:bCs/>
          <w:szCs w:val="22"/>
        </w:rPr>
        <w:t xml:space="preserve">Mezi okresy je na tom nejlépe okres </w:t>
      </w:r>
      <w:r w:rsidR="005563C4" w:rsidRPr="00C605D8">
        <w:rPr>
          <w:rFonts w:ascii="Arial" w:hAnsi="Arial" w:cs="Arial"/>
          <w:bCs/>
          <w:szCs w:val="22"/>
        </w:rPr>
        <w:t xml:space="preserve">Praha-východ (1,4), Rokycany (1,5), </w:t>
      </w:r>
      <w:r w:rsidRPr="00C605D8">
        <w:rPr>
          <w:rFonts w:ascii="Arial" w:hAnsi="Arial" w:cs="Arial"/>
          <w:bCs/>
          <w:szCs w:val="22"/>
        </w:rPr>
        <w:t xml:space="preserve">Prachatice </w:t>
      </w:r>
      <w:r w:rsidR="005563C4" w:rsidRPr="00C605D8">
        <w:rPr>
          <w:rFonts w:ascii="Arial" w:hAnsi="Arial" w:cs="Arial"/>
          <w:bCs/>
          <w:szCs w:val="22"/>
        </w:rPr>
        <w:t>a</w:t>
      </w:r>
      <w:r w:rsidRPr="00C605D8">
        <w:rPr>
          <w:rFonts w:ascii="Arial" w:hAnsi="Arial" w:cs="Arial"/>
          <w:bCs/>
          <w:szCs w:val="22"/>
        </w:rPr>
        <w:t xml:space="preserve"> Domažlice (1,5</w:t>
      </w:r>
      <w:r w:rsidR="005563C4" w:rsidRPr="00C605D8">
        <w:rPr>
          <w:rFonts w:ascii="Arial" w:hAnsi="Arial" w:cs="Arial"/>
          <w:bCs/>
          <w:szCs w:val="22"/>
        </w:rPr>
        <w:t>8</w:t>
      </w:r>
      <w:r w:rsidRPr="00C605D8">
        <w:rPr>
          <w:rFonts w:ascii="Arial" w:hAnsi="Arial" w:cs="Arial"/>
          <w:bCs/>
          <w:szCs w:val="22"/>
        </w:rPr>
        <w:t xml:space="preserve"> a P</w:t>
      </w:r>
      <w:r w:rsidR="005563C4" w:rsidRPr="00C605D8">
        <w:rPr>
          <w:rFonts w:ascii="Arial" w:hAnsi="Arial" w:cs="Arial"/>
          <w:bCs/>
          <w:szCs w:val="22"/>
        </w:rPr>
        <w:t>lzeň-sever</w:t>
      </w:r>
      <w:r w:rsidRPr="00C605D8">
        <w:rPr>
          <w:rFonts w:ascii="Arial" w:hAnsi="Arial" w:cs="Arial"/>
          <w:bCs/>
          <w:szCs w:val="22"/>
        </w:rPr>
        <w:t xml:space="preserve"> (1,</w:t>
      </w:r>
      <w:r w:rsidR="005563C4" w:rsidRPr="00C605D8">
        <w:rPr>
          <w:rFonts w:ascii="Arial" w:hAnsi="Arial" w:cs="Arial"/>
          <w:bCs/>
          <w:szCs w:val="22"/>
        </w:rPr>
        <w:t>9</w:t>
      </w:r>
      <w:r w:rsidRPr="00C605D8">
        <w:rPr>
          <w:rFonts w:ascii="Arial" w:hAnsi="Arial" w:cs="Arial"/>
          <w:bCs/>
          <w:szCs w:val="22"/>
        </w:rPr>
        <w:t xml:space="preserve">), naopak </w:t>
      </w:r>
      <w:r w:rsidRPr="00C605D8">
        <w:rPr>
          <w:rFonts w:ascii="Arial" w:hAnsi="Arial" w:cs="Arial"/>
          <w:szCs w:val="22"/>
        </w:rPr>
        <w:t xml:space="preserve">nejhorší poměr </w:t>
      </w:r>
      <w:r w:rsidRPr="00C605D8">
        <w:rPr>
          <w:rFonts w:ascii="Arial" w:hAnsi="Arial" w:cs="Arial"/>
        </w:rPr>
        <w:t xml:space="preserve">je v okresech </w:t>
      </w:r>
      <w:r w:rsidR="005563C4" w:rsidRPr="00C605D8">
        <w:rPr>
          <w:rFonts w:ascii="Arial" w:hAnsi="Arial" w:cs="Arial"/>
        </w:rPr>
        <w:t xml:space="preserve">Bruntál (18,4), Karviná (17,1), Ústí nad Labem (16,0), Chomutov (14,0), Hodonín (12,3) a Jeseník (11,9 </w:t>
      </w:r>
      <w:r w:rsidRPr="00C605D8">
        <w:rPr>
          <w:rFonts w:ascii="Arial" w:hAnsi="Arial" w:cs="Arial"/>
          <w:bCs/>
        </w:rPr>
        <w:t>uchazečů na jedno VPM</w:t>
      </w:r>
      <w:r w:rsidRPr="00C605D8">
        <w:rPr>
          <w:rFonts w:ascii="Arial" w:hAnsi="Arial" w:cs="Arial"/>
        </w:rPr>
        <w:t xml:space="preserve">). </w:t>
      </w:r>
    </w:p>
    <w:p w:rsidR="00D808F8" w:rsidRPr="00C605D8" w:rsidRDefault="005563C4" w:rsidP="008D41BF">
      <w:pPr>
        <w:pStyle w:val="Zkladntextodsazen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C605D8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5760720" cy="40767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UCH_na_VM 12_2015_ok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8F8" w:rsidRPr="00C605D8" w:rsidRDefault="00D808F8" w:rsidP="008D41BF">
      <w:pPr>
        <w:pStyle w:val="Zkladntextodsazen"/>
        <w:ind w:left="0"/>
        <w:jc w:val="both"/>
        <w:rPr>
          <w:rFonts w:ascii="Arial" w:hAnsi="Arial" w:cs="Arial"/>
          <w:bCs/>
          <w:szCs w:val="22"/>
        </w:rPr>
      </w:pPr>
      <w:r w:rsidRPr="00C605D8">
        <w:rPr>
          <w:rFonts w:ascii="Arial" w:hAnsi="Arial" w:cs="Arial"/>
          <w:bCs/>
          <w:szCs w:val="22"/>
        </w:rPr>
        <w:t xml:space="preserve">V nabídce volných pracovních míst v evidenci ÚP ČR tvoří největší podíl místa určená pro skupinu zaměstnání </w:t>
      </w:r>
      <w:r w:rsidR="004C5055" w:rsidRPr="00C605D8">
        <w:rPr>
          <w:rFonts w:ascii="Arial" w:hAnsi="Arial" w:cs="Arial"/>
          <w:bCs/>
          <w:szCs w:val="22"/>
        </w:rPr>
        <w:t xml:space="preserve">řemeslníci a opraváři (tř. 7) – 21,4 %, </w:t>
      </w:r>
      <w:r w:rsidRPr="00C605D8">
        <w:rPr>
          <w:rFonts w:ascii="Arial" w:hAnsi="Arial" w:cs="Arial"/>
          <w:bCs/>
          <w:szCs w:val="22"/>
        </w:rPr>
        <w:t>obsluh</w:t>
      </w:r>
      <w:r w:rsidR="004C5055" w:rsidRPr="00C605D8">
        <w:rPr>
          <w:rFonts w:ascii="Arial" w:hAnsi="Arial" w:cs="Arial"/>
          <w:bCs/>
          <w:szCs w:val="22"/>
        </w:rPr>
        <w:t>a</w:t>
      </w:r>
      <w:r w:rsidRPr="00C605D8">
        <w:rPr>
          <w:rFonts w:ascii="Arial" w:hAnsi="Arial" w:cs="Arial"/>
          <w:bCs/>
          <w:szCs w:val="22"/>
        </w:rPr>
        <w:t xml:space="preserve"> strojů a zařízení, montéry (tř. 8) – 2</w:t>
      </w:r>
      <w:r w:rsidR="004C5055" w:rsidRPr="00C605D8">
        <w:rPr>
          <w:rFonts w:ascii="Arial" w:hAnsi="Arial" w:cs="Arial"/>
          <w:bCs/>
          <w:szCs w:val="22"/>
        </w:rPr>
        <w:t>0</w:t>
      </w:r>
      <w:r w:rsidRPr="00C605D8">
        <w:rPr>
          <w:rFonts w:ascii="Arial" w:hAnsi="Arial" w:cs="Arial"/>
          <w:bCs/>
          <w:szCs w:val="22"/>
        </w:rPr>
        <w:t>,</w:t>
      </w:r>
      <w:r w:rsidR="004C5055" w:rsidRPr="00C605D8">
        <w:rPr>
          <w:rFonts w:ascii="Arial" w:hAnsi="Arial" w:cs="Arial"/>
          <w:bCs/>
          <w:szCs w:val="22"/>
        </w:rPr>
        <w:t>9</w:t>
      </w:r>
      <w:r w:rsidRPr="00C605D8">
        <w:rPr>
          <w:rFonts w:ascii="Arial" w:hAnsi="Arial" w:cs="Arial"/>
          <w:bCs/>
          <w:szCs w:val="22"/>
        </w:rPr>
        <w:t> %, pomocn</w:t>
      </w:r>
      <w:r w:rsidR="004C5055" w:rsidRPr="00C605D8">
        <w:rPr>
          <w:rFonts w:ascii="Arial" w:hAnsi="Arial" w:cs="Arial"/>
          <w:bCs/>
          <w:szCs w:val="22"/>
        </w:rPr>
        <w:t>í</w:t>
      </w:r>
      <w:r w:rsidRPr="00C605D8">
        <w:rPr>
          <w:rFonts w:ascii="Arial" w:hAnsi="Arial" w:cs="Arial"/>
          <w:bCs/>
          <w:szCs w:val="22"/>
        </w:rPr>
        <w:t xml:space="preserve"> a nekvalifikovan</w:t>
      </w:r>
      <w:r w:rsidR="004C5055" w:rsidRPr="00C605D8">
        <w:rPr>
          <w:rFonts w:ascii="Arial" w:hAnsi="Arial" w:cs="Arial"/>
          <w:bCs/>
          <w:szCs w:val="22"/>
        </w:rPr>
        <w:t>í</w:t>
      </w:r>
      <w:r w:rsidRPr="00C605D8">
        <w:rPr>
          <w:rFonts w:ascii="Arial" w:hAnsi="Arial" w:cs="Arial"/>
          <w:bCs/>
          <w:szCs w:val="22"/>
        </w:rPr>
        <w:t xml:space="preserve"> pracovní</w:t>
      </w:r>
      <w:r w:rsidR="004C5055" w:rsidRPr="00C605D8">
        <w:rPr>
          <w:rFonts w:ascii="Arial" w:hAnsi="Arial" w:cs="Arial"/>
          <w:bCs/>
          <w:szCs w:val="22"/>
        </w:rPr>
        <w:t>ci</w:t>
      </w:r>
      <w:r w:rsidRPr="00C605D8">
        <w:rPr>
          <w:rFonts w:ascii="Arial" w:hAnsi="Arial" w:cs="Arial"/>
          <w:bCs/>
          <w:szCs w:val="22"/>
        </w:rPr>
        <w:t xml:space="preserve"> (tř. 9) – </w:t>
      </w:r>
      <w:r w:rsidRPr="00C605D8">
        <w:rPr>
          <w:rFonts w:ascii="Arial" w:hAnsi="Arial" w:cs="Arial"/>
          <w:bCs/>
          <w:szCs w:val="22"/>
        </w:rPr>
        <w:lastRenderedPageBreak/>
        <w:t>18,</w:t>
      </w:r>
      <w:r w:rsidR="004C5055" w:rsidRPr="00C605D8">
        <w:rPr>
          <w:rFonts w:ascii="Arial" w:hAnsi="Arial" w:cs="Arial"/>
          <w:bCs/>
          <w:szCs w:val="22"/>
        </w:rPr>
        <w:t>2</w:t>
      </w:r>
      <w:r w:rsidRPr="00C605D8">
        <w:rPr>
          <w:rFonts w:ascii="Arial" w:hAnsi="Arial" w:cs="Arial"/>
          <w:bCs/>
          <w:szCs w:val="22"/>
        </w:rPr>
        <w:t> % a pro pracovníky ve službách a prodeji (tř. 5 klasifikace zaměstnání CZ-ISCO) – 16,</w:t>
      </w:r>
      <w:r w:rsidR="004C5055" w:rsidRPr="00C605D8">
        <w:rPr>
          <w:rFonts w:ascii="Arial" w:hAnsi="Arial" w:cs="Arial"/>
          <w:bCs/>
          <w:szCs w:val="22"/>
        </w:rPr>
        <w:t>3</w:t>
      </w:r>
      <w:r w:rsidRPr="00C605D8">
        <w:rPr>
          <w:rFonts w:ascii="Arial" w:hAnsi="Arial" w:cs="Arial"/>
          <w:bCs/>
          <w:szCs w:val="22"/>
        </w:rPr>
        <w:t> %. V nejpočetnějších skupinách zaměstnání, a to řemeslníci a opraváři, obsluha strojů a zařízení, je převis nabídky pracovní síly nad poptávkou ze strany zaměstnavatelů nízký (2,</w:t>
      </w:r>
      <w:r w:rsidR="004C5055" w:rsidRPr="00C605D8">
        <w:rPr>
          <w:rFonts w:ascii="Arial" w:hAnsi="Arial" w:cs="Arial"/>
          <w:bCs/>
          <w:szCs w:val="22"/>
        </w:rPr>
        <w:t>9</w:t>
      </w:r>
      <w:r w:rsidRPr="00C605D8">
        <w:rPr>
          <w:rFonts w:ascii="Arial" w:hAnsi="Arial" w:cs="Arial"/>
          <w:bCs/>
          <w:szCs w:val="22"/>
        </w:rPr>
        <w:t xml:space="preserve">, resp. </w:t>
      </w:r>
      <w:r w:rsidR="004C5055" w:rsidRPr="00C605D8">
        <w:rPr>
          <w:rFonts w:ascii="Arial" w:hAnsi="Arial" w:cs="Arial"/>
          <w:bCs/>
          <w:szCs w:val="22"/>
        </w:rPr>
        <w:t>2</w:t>
      </w:r>
      <w:r w:rsidRPr="00C605D8">
        <w:rPr>
          <w:rFonts w:ascii="Arial" w:hAnsi="Arial" w:cs="Arial"/>
          <w:bCs/>
          <w:szCs w:val="22"/>
        </w:rPr>
        <w:t>,</w:t>
      </w:r>
      <w:r w:rsidR="004C5055" w:rsidRPr="00C605D8">
        <w:rPr>
          <w:rFonts w:ascii="Arial" w:hAnsi="Arial" w:cs="Arial"/>
          <w:bCs/>
          <w:szCs w:val="22"/>
        </w:rPr>
        <w:t>0</w:t>
      </w:r>
      <w:r w:rsidRPr="00C605D8">
        <w:rPr>
          <w:rFonts w:ascii="Arial" w:hAnsi="Arial" w:cs="Arial"/>
          <w:bCs/>
          <w:szCs w:val="22"/>
        </w:rPr>
        <w:t xml:space="preserve"> </w:t>
      </w:r>
      <w:proofErr w:type="spellStart"/>
      <w:r w:rsidRPr="00C605D8">
        <w:rPr>
          <w:rFonts w:ascii="Arial" w:hAnsi="Arial" w:cs="Arial"/>
          <w:bCs/>
          <w:szCs w:val="22"/>
        </w:rPr>
        <w:t>UoZ</w:t>
      </w:r>
      <w:proofErr w:type="spellEnd"/>
      <w:r w:rsidRPr="00C605D8">
        <w:rPr>
          <w:rFonts w:ascii="Arial" w:hAnsi="Arial" w:cs="Arial"/>
          <w:bCs/>
          <w:szCs w:val="22"/>
        </w:rPr>
        <w:t xml:space="preserve"> na VPM). </w:t>
      </w:r>
    </w:p>
    <w:p w:rsidR="00D808F8" w:rsidRPr="00C605D8" w:rsidRDefault="00D808F8" w:rsidP="008D41BF">
      <w:pPr>
        <w:spacing w:line="240" w:lineRule="auto"/>
        <w:rPr>
          <w:rFonts w:cs="Arial"/>
          <w:sz w:val="20"/>
          <w:szCs w:val="20"/>
        </w:rPr>
      </w:pPr>
      <w:r w:rsidRPr="00C605D8">
        <w:rPr>
          <w:rFonts w:cs="Arial"/>
          <w:sz w:val="20"/>
          <w:szCs w:val="20"/>
        </w:rPr>
        <w:t> </w:t>
      </w:r>
      <w:r w:rsidR="005563C4" w:rsidRPr="00C605D8">
        <w:rPr>
          <w:rFonts w:cs="Arial"/>
          <w:noProof/>
          <w:lang w:eastAsia="cs-CZ"/>
        </w:rPr>
        <w:drawing>
          <wp:inline distT="0" distB="0" distL="0" distR="0">
            <wp:extent cx="5762625" cy="282892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08F8" w:rsidRPr="00C605D8" w:rsidRDefault="00D808F8" w:rsidP="008D41BF">
      <w:pPr>
        <w:pStyle w:val="Seznam"/>
        <w:spacing w:after="120"/>
        <w:ind w:left="0" w:firstLine="708"/>
        <w:jc w:val="both"/>
        <w:rPr>
          <w:rFonts w:ascii="Arial" w:hAnsi="Arial" w:cs="Arial"/>
          <w:sz w:val="16"/>
          <w:szCs w:val="16"/>
        </w:rPr>
      </w:pPr>
    </w:p>
    <w:p w:rsidR="00D808F8" w:rsidRPr="00C605D8" w:rsidRDefault="00D808F8" w:rsidP="008D41BF">
      <w:pPr>
        <w:pStyle w:val="Seznam"/>
        <w:ind w:left="0" w:firstLine="0"/>
        <w:jc w:val="both"/>
        <w:rPr>
          <w:rFonts w:ascii="Arial" w:hAnsi="Arial" w:cs="Arial"/>
          <w:szCs w:val="22"/>
        </w:rPr>
      </w:pPr>
      <w:r w:rsidRPr="00C605D8">
        <w:rPr>
          <w:rFonts w:ascii="Arial" w:hAnsi="Arial" w:cs="Arial"/>
          <w:szCs w:val="22"/>
        </w:rPr>
        <w:t xml:space="preserve">Níže uvedené tabulky poskytují podrobnější pohled nejvíce poptávaných zaměstnanců podle </w:t>
      </w:r>
      <w:r w:rsidRPr="00C605D8">
        <w:rPr>
          <w:rFonts w:ascii="Arial" w:hAnsi="Arial" w:cs="Arial"/>
          <w:b/>
          <w:szCs w:val="22"/>
        </w:rPr>
        <w:t>volných míst nahlášených zaměstnavateli</w:t>
      </w:r>
      <w:r w:rsidRPr="00C605D8">
        <w:rPr>
          <w:rFonts w:ascii="Arial" w:hAnsi="Arial" w:cs="Arial"/>
          <w:szCs w:val="22"/>
        </w:rPr>
        <w:t xml:space="preserve"> za celou ČR</w:t>
      </w:r>
      <w:r w:rsidR="00C605D8">
        <w:rPr>
          <w:rFonts w:ascii="Arial" w:hAnsi="Arial" w:cs="Arial"/>
          <w:szCs w:val="22"/>
        </w:rPr>
        <w:t xml:space="preserve">. Detailní rozbor na úroveň </w:t>
      </w:r>
      <w:r w:rsidR="00135E5B">
        <w:rPr>
          <w:rFonts w:ascii="Arial" w:hAnsi="Arial" w:cs="Arial"/>
          <w:szCs w:val="22"/>
        </w:rPr>
        <w:t>4místného kódu CZ ISCO je uveden v Příloze č. 1</w:t>
      </w:r>
      <w:r w:rsidR="002F481E">
        <w:rPr>
          <w:rFonts w:ascii="Arial" w:hAnsi="Arial" w:cs="Arial"/>
          <w:szCs w:val="22"/>
        </w:rPr>
        <w:t>.</w:t>
      </w:r>
    </w:p>
    <w:p w:rsidR="00DF6843" w:rsidRPr="00C605D8" w:rsidRDefault="00DF6843" w:rsidP="008D41BF">
      <w:pPr>
        <w:spacing w:line="240" w:lineRule="auto"/>
        <w:rPr>
          <w:rFonts w:cs="Arial"/>
          <w:b/>
        </w:rPr>
      </w:pPr>
    </w:p>
    <w:p w:rsidR="00DF6843" w:rsidRPr="00C605D8" w:rsidRDefault="00DF6843" w:rsidP="008D41BF">
      <w:pPr>
        <w:spacing w:line="240" w:lineRule="auto"/>
        <w:jc w:val="center"/>
        <w:rPr>
          <w:rFonts w:cs="Arial"/>
          <w:b/>
        </w:rPr>
      </w:pPr>
      <w:r w:rsidRPr="00C605D8">
        <w:rPr>
          <w:rFonts w:cs="Arial"/>
          <w:b/>
        </w:rPr>
        <w:t>Nejvíce poptávané profese k 3</w:t>
      </w:r>
      <w:r w:rsidR="004C5055" w:rsidRPr="00C605D8">
        <w:rPr>
          <w:rFonts w:cs="Arial"/>
          <w:b/>
        </w:rPr>
        <w:t>1</w:t>
      </w:r>
      <w:r w:rsidRPr="00C605D8">
        <w:rPr>
          <w:rFonts w:cs="Arial"/>
          <w:b/>
        </w:rPr>
        <w:t xml:space="preserve">. </w:t>
      </w:r>
      <w:r w:rsidR="004C5055" w:rsidRPr="00C605D8">
        <w:rPr>
          <w:rFonts w:cs="Arial"/>
          <w:b/>
        </w:rPr>
        <w:t>12</w:t>
      </w:r>
      <w:r w:rsidRPr="00C605D8">
        <w:rPr>
          <w:rFonts w:cs="Arial"/>
          <w:b/>
        </w:rPr>
        <w:t>. 2015</w:t>
      </w:r>
    </w:p>
    <w:p w:rsidR="00F0133A" w:rsidRPr="00C605D8" w:rsidRDefault="00F0133A" w:rsidP="008D41BF">
      <w:pPr>
        <w:spacing w:line="240" w:lineRule="auto"/>
        <w:jc w:val="center"/>
        <w:rPr>
          <w:rFonts w:cs="Arial"/>
          <w:b/>
          <w:sz w:val="16"/>
          <w:szCs w:val="16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5623"/>
        <w:gridCol w:w="851"/>
        <w:gridCol w:w="1276"/>
        <w:gridCol w:w="1134"/>
      </w:tblGrid>
      <w:tr w:rsidR="00DF6843" w:rsidRPr="00C605D8" w:rsidTr="004C5055">
        <w:trPr>
          <w:trHeight w:val="8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43" w:rsidRPr="00C605D8" w:rsidRDefault="00DF6843" w:rsidP="008D41B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CZ- ISCO</w:t>
            </w: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843" w:rsidRPr="00C605D8" w:rsidRDefault="00DF6843" w:rsidP="008D41B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CZ ISCO - POPIS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43" w:rsidRPr="00C605D8" w:rsidRDefault="00DF6843" w:rsidP="008D41B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Počet VPM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43" w:rsidRPr="00C605D8" w:rsidRDefault="00DF6843" w:rsidP="008D41B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 xml:space="preserve">Neobsazená více než </w:t>
            </w: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br/>
              <w:t xml:space="preserve">3 </w:t>
            </w:r>
            <w:proofErr w:type="spellStart"/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měs</w:t>
            </w:r>
            <w:proofErr w:type="spellEnd"/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. v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843" w:rsidRPr="00C605D8" w:rsidRDefault="00DF6843" w:rsidP="008D41B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Průměrné mzdy za    1. pol. 2015</w:t>
            </w:r>
          </w:p>
        </w:tc>
      </w:tr>
      <w:tr w:rsidR="004C5055" w:rsidRPr="00C605D8" w:rsidTr="002E713D">
        <w:trPr>
          <w:trHeight w:val="3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932</w:t>
            </w:r>
          </w:p>
        </w:tc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Pomocní pracovníci ve výrobě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7372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C605D8">
              <w:rPr>
                <w:rFonts w:cs="Arial"/>
                <w:bCs/>
                <w:i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17 494</w:t>
            </w:r>
          </w:p>
        </w:tc>
      </w:tr>
      <w:tr w:rsidR="004C5055" w:rsidRPr="00C605D8" w:rsidTr="002E713D">
        <w:trPr>
          <w:trHeight w:val="3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821</w:t>
            </w:r>
          </w:p>
        </w:tc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Montážní dělníci výrobků a zařízení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5871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C605D8">
              <w:rPr>
                <w:rFonts w:cs="Arial"/>
                <w:bCs/>
                <w:i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21 282</w:t>
            </w:r>
          </w:p>
        </w:tc>
      </w:tr>
      <w:tr w:rsidR="004C5055" w:rsidRPr="00C605D8" w:rsidTr="002E713D">
        <w:trPr>
          <w:trHeight w:val="3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722</w:t>
            </w:r>
          </w:p>
        </w:tc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Kováři, nástrojaři a příbuzní pracovníci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5786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C605D8">
              <w:rPr>
                <w:rFonts w:cs="Arial"/>
                <w:bCs/>
                <w:i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24 845</w:t>
            </w:r>
          </w:p>
        </w:tc>
      </w:tr>
      <w:tr w:rsidR="004C5055" w:rsidRPr="00C605D8" w:rsidTr="002E713D">
        <w:trPr>
          <w:trHeight w:val="3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833</w:t>
            </w:r>
          </w:p>
        </w:tc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Řidiči nákladních automobilů, autobusů a tramvají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5486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C605D8">
              <w:rPr>
                <w:rFonts w:cs="Arial"/>
                <w:bCs/>
                <w:i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21 526</w:t>
            </w:r>
          </w:p>
        </w:tc>
      </w:tr>
      <w:tr w:rsidR="004C5055" w:rsidRPr="00C605D8" w:rsidTr="002E713D">
        <w:trPr>
          <w:trHeight w:val="3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Pracovníci v oblasti ochrany a ostrahy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3702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C605D8">
              <w:rPr>
                <w:rFonts w:cs="Arial"/>
                <w:bCs/>
                <w:i/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14 293</w:t>
            </w:r>
          </w:p>
        </w:tc>
      </w:tr>
      <w:tr w:rsidR="004C5055" w:rsidRPr="00C605D8" w:rsidTr="002E713D">
        <w:trPr>
          <w:trHeight w:val="3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721</w:t>
            </w:r>
          </w:p>
        </w:tc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Slévači, svářeči a příbuzní pracovníci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3554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C605D8">
              <w:rPr>
                <w:rFonts w:cs="Arial"/>
                <w:bCs/>
                <w:i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F86469" w:rsidP="008D41B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24 845</w:t>
            </w:r>
          </w:p>
        </w:tc>
      </w:tr>
      <w:tr w:rsidR="004C5055" w:rsidRPr="00C605D8" w:rsidTr="002E713D">
        <w:trPr>
          <w:trHeight w:val="3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834</w:t>
            </w:r>
          </w:p>
        </w:tc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Obsluha pojízdných zařízení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3288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C605D8">
              <w:rPr>
                <w:rFonts w:cs="Arial"/>
                <w:bCs/>
                <w:i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F86469" w:rsidP="008D41B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21 526</w:t>
            </w:r>
          </w:p>
        </w:tc>
      </w:tr>
      <w:tr w:rsidR="004C5055" w:rsidRPr="00C605D8" w:rsidTr="002E713D">
        <w:trPr>
          <w:trHeight w:val="3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522</w:t>
            </w:r>
          </w:p>
        </w:tc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 xml:space="preserve">Provozovatelé </w:t>
            </w:r>
            <w:proofErr w:type="spellStart"/>
            <w:r w:rsidRPr="00C605D8">
              <w:rPr>
                <w:rFonts w:cs="Arial"/>
                <w:sz w:val="20"/>
                <w:szCs w:val="20"/>
              </w:rPr>
              <w:t>maloob</w:t>
            </w:r>
            <w:proofErr w:type="spellEnd"/>
            <w:r w:rsidRPr="00C605D8">
              <w:rPr>
                <w:rFonts w:cs="Arial"/>
                <w:sz w:val="20"/>
                <w:szCs w:val="20"/>
              </w:rPr>
              <w:t xml:space="preserve">. a </w:t>
            </w:r>
            <w:proofErr w:type="spellStart"/>
            <w:r w:rsidRPr="00C605D8">
              <w:rPr>
                <w:rFonts w:cs="Arial"/>
                <w:sz w:val="20"/>
                <w:szCs w:val="20"/>
              </w:rPr>
              <w:t>velkoob</w:t>
            </w:r>
            <w:proofErr w:type="spellEnd"/>
            <w:r w:rsidRPr="00C605D8">
              <w:rPr>
                <w:rFonts w:cs="Arial"/>
                <w:sz w:val="20"/>
                <w:szCs w:val="20"/>
              </w:rPr>
              <w:t>. prodejen, prodavači apod.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3106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C605D8">
              <w:rPr>
                <w:rFonts w:cs="Arial"/>
                <w:bCs/>
                <w:i/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 w:rsidR="00F86469" w:rsidRPr="00C605D8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F86469" w:rsidRPr="00C605D8">
              <w:rPr>
                <w:rFonts w:eastAsia="Times New Roman" w:cs="Arial"/>
                <w:sz w:val="20"/>
                <w:szCs w:val="20"/>
                <w:lang w:eastAsia="cs-CZ"/>
              </w:rPr>
              <w:t>433</w:t>
            </w:r>
          </w:p>
        </w:tc>
      </w:tr>
      <w:tr w:rsidR="004C5055" w:rsidRPr="00C605D8" w:rsidTr="002E713D">
        <w:trPr>
          <w:trHeight w:val="3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512</w:t>
            </w:r>
          </w:p>
        </w:tc>
        <w:tc>
          <w:tcPr>
            <w:tcW w:w="5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Kuchaři (kromě šéfkuchařů), pomocní kuchaři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2992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C605D8">
              <w:rPr>
                <w:rFonts w:cs="Arial"/>
                <w:bCs/>
                <w:i/>
                <w:sz w:val="20"/>
                <w:szCs w:val="20"/>
              </w:rPr>
              <w:t>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F86469" w:rsidP="008D41B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16</w:t>
            </w:r>
            <w:r w:rsidR="004C5055" w:rsidRPr="00C605D8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372</w:t>
            </w:r>
          </w:p>
        </w:tc>
      </w:tr>
      <w:tr w:rsidR="004C5055" w:rsidRPr="00C605D8" w:rsidTr="002E713D">
        <w:trPr>
          <w:trHeight w:val="34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911</w:t>
            </w:r>
          </w:p>
        </w:tc>
        <w:tc>
          <w:tcPr>
            <w:tcW w:w="5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 xml:space="preserve">Uklízeči a pomocníci v domácnost., hotel., </w:t>
            </w:r>
            <w:proofErr w:type="spellStart"/>
            <w:r w:rsidRPr="00C605D8">
              <w:rPr>
                <w:rFonts w:cs="Arial"/>
                <w:sz w:val="20"/>
                <w:szCs w:val="20"/>
              </w:rPr>
              <w:t>admin</w:t>
            </w:r>
            <w:proofErr w:type="spellEnd"/>
            <w:r w:rsidRPr="00C605D8">
              <w:rPr>
                <w:rFonts w:cs="Arial"/>
                <w:sz w:val="20"/>
                <w:szCs w:val="20"/>
              </w:rPr>
              <w:t xml:space="preserve">., </w:t>
            </w:r>
            <w:proofErr w:type="spellStart"/>
            <w:r w:rsidRPr="00C605D8">
              <w:rPr>
                <w:rFonts w:cs="Arial"/>
                <w:sz w:val="20"/>
                <w:szCs w:val="20"/>
              </w:rPr>
              <w:t>prům</w:t>
            </w:r>
            <w:proofErr w:type="spellEnd"/>
            <w:r w:rsidRPr="00C605D8">
              <w:rPr>
                <w:rFonts w:cs="Arial"/>
                <w:sz w:val="20"/>
                <w:szCs w:val="20"/>
              </w:rPr>
              <w:t>. aj.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2546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bCs/>
                <w:i/>
                <w:sz w:val="20"/>
                <w:szCs w:val="20"/>
              </w:rPr>
            </w:pPr>
            <w:r w:rsidRPr="00C605D8">
              <w:rPr>
                <w:rFonts w:cs="Arial"/>
                <w:bCs/>
                <w:i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 w:rsidR="00F86469" w:rsidRPr="00C605D8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="00F86469" w:rsidRPr="00C605D8">
              <w:rPr>
                <w:rFonts w:eastAsia="Times New Roman" w:cs="Arial"/>
                <w:sz w:val="20"/>
                <w:szCs w:val="20"/>
                <w:lang w:eastAsia="cs-CZ"/>
              </w:rPr>
              <w:t>708</w:t>
            </w:r>
          </w:p>
        </w:tc>
      </w:tr>
    </w:tbl>
    <w:p w:rsidR="00DF6843" w:rsidRPr="00C605D8" w:rsidRDefault="00DF6843" w:rsidP="008D41BF">
      <w:pPr>
        <w:spacing w:line="240" w:lineRule="auto"/>
        <w:rPr>
          <w:rFonts w:eastAsia="Times New Roman" w:cs="Arial"/>
          <w:i/>
          <w:iCs/>
          <w:sz w:val="20"/>
          <w:szCs w:val="20"/>
          <w:lang w:eastAsia="cs-CZ"/>
        </w:rPr>
      </w:pPr>
      <w:r w:rsidRPr="00C605D8">
        <w:rPr>
          <w:rFonts w:eastAsia="Times New Roman" w:cs="Arial"/>
          <w:i/>
          <w:iCs/>
          <w:sz w:val="20"/>
          <w:szCs w:val="20"/>
          <w:lang w:eastAsia="cs-CZ"/>
        </w:rPr>
        <w:t>Pozn</w:t>
      </w:r>
      <w:r w:rsidR="00F93B2A" w:rsidRPr="00C605D8">
        <w:rPr>
          <w:rFonts w:eastAsia="Times New Roman" w:cs="Arial"/>
          <w:i/>
          <w:iCs/>
          <w:sz w:val="20"/>
          <w:szCs w:val="20"/>
          <w:lang w:eastAsia="cs-CZ"/>
        </w:rPr>
        <w:t>.</w:t>
      </w:r>
      <w:r w:rsidRPr="00C605D8">
        <w:rPr>
          <w:rFonts w:eastAsia="Times New Roman" w:cs="Arial"/>
          <w:i/>
          <w:iCs/>
          <w:sz w:val="20"/>
          <w:szCs w:val="20"/>
          <w:lang w:eastAsia="cs-CZ"/>
        </w:rPr>
        <w:t>:  Průměrné mzdy jsou uvedeny za 2místné CZ-ISCO (podnikatelská sféra)</w:t>
      </w:r>
    </w:p>
    <w:p w:rsidR="00E1434F" w:rsidRPr="00C605D8" w:rsidRDefault="00E1434F" w:rsidP="008D41BF">
      <w:pPr>
        <w:pStyle w:val="Seznam"/>
        <w:spacing w:after="120"/>
        <w:ind w:left="0" w:firstLine="0"/>
        <w:jc w:val="both"/>
        <w:rPr>
          <w:rFonts w:ascii="Arial" w:hAnsi="Arial" w:cs="Arial"/>
          <w:szCs w:val="22"/>
        </w:rPr>
      </w:pPr>
    </w:p>
    <w:p w:rsidR="00E1434F" w:rsidRPr="00C605D8" w:rsidRDefault="00E1434F" w:rsidP="008D41BF">
      <w:pPr>
        <w:pStyle w:val="Seznam"/>
        <w:spacing w:after="120"/>
        <w:jc w:val="both"/>
        <w:rPr>
          <w:rFonts w:ascii="Arial" w:hAnsi="Arial" w:cs="Arial"/>
          <w:b/>
          <w:szCs w:val="22"/>
        </w:rPr>
      </w:pPr>
      <w:r w:rsidRPr="00C605D8">
        <w:rPr>
          <w:rFonts w:ascii="Arial" w:hAnsi="Arial" w:cs="Arial"/>
          <w:b/>
          <w:szCs w:val="22"/>
        </w:rPr>
        <w:t xml:space="preserve">1.2 </w:t>
      </w:r>
      <w:r w:rsidR="00DD7FAC" w:rsidRPr="00C605D8">
        <w:rPr>
          <w:rFonts w:ascii="Arial" w:hAnsi="Arial" w:cs="Arial"/>
          <w:b/>
          <w:szCs w:val="22"/>
        </w:rPr>
        <w:t>Aktuální stav – struktura uchazečů o zaměstnání</w:t>
      </w:r>
    </w:p>
    <w:p w:rsidR="00D808F8" w:rsidRPr="00C605D8" w:rsidRDefault="00DD7FAC" w:rsidP="008D41BF">
      <w:pPr>
        <w:pStyle w:val="Seznam"/>
        <w:spacing w:after="120"/>
        <w:ind w:left="0" w:firstLine="0"/>
        <w:jc w:val="both"/>
        <w:rPr>
          <w:rFonts w:ascii="Arial" w:hAnsi="Arial" w:cs="Arial"/>
          <w:szCs w:val="22"/>
        </w:rPr>
      </w:pPr>
      <w:r w:rsidRPr="00C605D8">
        <w:rPr>
          <w:rFonts w:ascii="Arial" w:hAnsi="Arial" w:cs="Arial"/>
          <w:szCs w:val="22"/>
        </w:rPr>
        <w:t>V</w:t>
      </w:r>
      <w:r w:rsidR="00D808F8" w:rsidRPr="00C605D8">
        <w:rPr>
          <w:rFonts w:ascii="Arial" w:hAnsi="Arial" w:cs="Arial"/>
          <w:szCs w:val="22"/>
        </w:rPr>
        <w:t> evidenci ÚP ČR jsou početně nejvíce zastoupeni uchazeči o zaměstnání spadající do následujících skupin zaměstnání:</w:t>
      </w:r>
    </w:p>
    <w:p w:rsidR="00F0133A" w:rsidRPr="00C605D8" w:rsidRDefault="00F0133A" w:rsidP="008D41BF">
      <w:pPr>
        <w:spacing w:line="240" w:lineRule="auto"/>
        <w:jc w:val="center"/>
        <w:rPr>
          <w:rFonts w:cs="Arial"/>
          <w:b/>
          <w:sz w:val="22"/>
        </w:rPr>
      </w:pPr>
      <w:r w:rsidRPr="00C605D8">
        <w:rPr>
          <w:rFonts w:cs="Arial"/>
          <w:b/>
          <w:sz w:val="22"/>
        </w:rPr>
        <w:lastRenderedPageBreak/>
        <w:t>Nejvíce zastoupení uchazeči o zaměstnání podle poptávané profese k 31. 12. 2015</w:t>
      </w:r>
    </w:p>
    <w:p w:rsidR="00FE3F8B" w:rsidRPr="00C605D8" w:rsidRDefault="00FE3F8B" w:rsidP="008D41BF">
      <w:pPr>
        <w:pStyle w:val="Seznam"/>
        <w:ind w:left="0" w:firstLine="0"/>
        <w:jc w:val="both"/>
        <w:rPr>
          <w:rFonts w:ascii="Arial" w:hAnsi="Arial" w:cs="Arial"/>
          <w:sz w:val="16"/>
          <w:szCs w:val="16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/>
      </w:tblPr>
      <w:tblGrid>
        <w:gridCol w:w="1140"/>
        <w:gridCol w:w="4620"/>
        <w:gridCol w:w="1420"/>
      </w:tblGrid>
      <w:tr w:rsidR="00FB3066" w:rsidRPr="00C605D8" w:rsidTr="00D808F8">
        <w:trPr>
          <w:trHeight w:val="49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CZ- ISCO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605D8">
              <w:rPr>
                <w:rFonts w:cs="Arial"/>
                <w:sz w:val="20"/>
                <w:szCs w:val="20"/>
              </w:rPr>
              <w:t>CZ ISCO - POPIS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605D8">
              <w:rPr>
                <w:rFonts w:cs="Arial"/>
                <w:b/>
                <w:bCs/>
                <w:sz w:val="20"/>
                <w:szCs w:val="20"/>
              </w:rPr>
              <w:t xml:space="preserve">Počet </w:t>
            </w:r>
            <w:proofErr w:type="spellStart"/>
            <w:r w:rsidRPr="00C605D8">
              <w:rPr>
                <w:rFonts w:cs="Arial"/>
                <w:b/>
                <w:bCs/>
                <w:sz w:val="20"/>
                <w:szCs w:val="20"/>
              </w:rPr>
              <w:t>UoZ</w:t>
            </w:r>
            <w:proofErr w:type="spellEnd"/>
          </w:p>
        </w:tc>
      </w:tr>
      <w:tr w:rsidR="00FB3066" w:rsidRPr="00C605D8" w:rsidTr="00FD0406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932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Pomocní pracovníci ve výrobě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40 057</w:t>
            </w:r>
          </w:p>
        </w:tc>
      </w:tr>
      <w:tr w:rsidR="00FB3066" w:rsidRPr="00C605D8" w:rsidTr="00FD0406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522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Provozovatelé maloobchodních a velkoobchodních prodejen, prodavači a příbuzní pracovníci v prodejnách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33 168</w:t>
            </w:r>
          </w:p>
        </w:tc>
      </w:tr>
      <w:tr w:rsidR="00FB3066" w:rsidRPr="00C605D8" w:rsidTr="00FD0406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Všeobecní administrativní pracovníci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31 962</w:t>
            </w:r>
          </w:p>
        </w:tc>
      </w:tr>
      <w:tr w:rsidR="00FB3066" w:rsidRPr="00C605D8" w:rsidTr="00FD0406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711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Řemeslníci a kvalifikovaní pracovníci hlavní stavební výroby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21 888</w:t>
            </w:r>
          </w:p>
        </w:tc>
      </w:tr>
      <w:tr w:rsidR="00FB3066" w:rsidRPr="00C605D8" w:rsidTr="00FD0406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911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Uklízeči a pomocníci v domácnostech, hotelích, administrativních, průmyslových a jiných objektech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19 327</w:t>
            </w:r>
          </w:p>
        </w:tc>
      </w:tr>
      <w:tr w:rsidR="00FB3066" w:rsidRPr="00C605D8" w:rsidTr="00FD0406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541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Pracovníci v oblasti ochrany a ostrahy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14 973</w:t>
            </w:r>
          </w:p>
        </w:tc>
      </w:tr>
      <w:tr w:rsidR="00FB3066" w:rsidRPr="00C605D8" w:rsidTr="00FD0406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832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Řidiči motocyklů a automobilů (kromě nákladních)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13 807</w:t>
            </w:r>
          </w:p>
        </w:tc>
      </w:tr>
      <w:tr w:rsidR="00FB3066" w:rsidRPr="00C605D8" w:rsidTr="00FD0406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513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Číšníci, servírky a barmani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11 865</w:t>
            </w:r>
          </w:p>
        </w:tc>
      </w:tr>
      <w:tr w:rsidR="00FB3066" w:rsidRPr="00C605D8" w:rsidTr="00FD0406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512</w:t>
            </w: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Kuchaři (kromě šéfkuchařů), pomocní kuchaři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11 195</w:t>
            </w:r>
          </w:p>
        </w:tc>
      </w:tr>
      <w:tr w:rsidR="00FB3066" w:rsidRPr="00C605D8" w:rsidTr="00FD0406">
        <w:trPr>
          <w:trHeight w:val="34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722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Kováři, nástrojaři a příbuzní pracovníci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055" w:rsidRPr="00C605D8" w:rsidRDefault="004C5055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8 558</w:t>
            </w:r>
          </w:p>
        </w:tc>
      </w:tr>
    </w:tbl>
    <w:p w:rsidR="00D808F8" w:rsidRPr="00C605D8" w:rsidRDefault="00D808F8" w:rsidP="008D41BF">
      <w:pPr>
        <w:spacing w:line="240" w:lineRule="auto"/>
        <w:ind w:firstLine="567"/>
        <w:rPr>
          <w:rFonts w:cs="Arial"/>
          <w:iCs/>
          <w:sz w:val="22"/>
        </w:rPr>
      </w:pPr>
    </w:p>
    <w:p w:rsidR="00BC30E5" w:rsidRPr="00C605D8" w:rsidRDefault="00BC30E5" w:rsidP="00BC30E5">
      <w:pPr>
        <w:spacing w:line="240" w:lineRule="auto"/>
        <w:ind w:firstLine="567"/>
        <w:rPr>
          <w:rFonts w:cs="Arial"/>
          <w:iCs/>
          <w:sz w:val="22"/>
        </w:rPr>
      </w:pPr>
    </w:p>
    <w:p w:rsidR="00BC30E5" w:rsidRPr="00BC30E5" w:rsidRDefault="00BC30E5" w:rsidP="00BC30E5">
      <w:pPr>
        <w:spacing w:line="240" w:lineRule="auto"/>
        <w:rPr>
          <w:rFonts w:cs="Arial"/>
          <w:iCs/>
        </w:rPr>
      </w:pPr>
      <w:r>
        <w:rPr>
          <w:rFonts w:cs="Arial"/>
          <w:b/>
          <w:iCs/>
        </w:rPr>
        <w:t>Tabulka výše obsahuje nejčastěji zastoupené skupiny zaměstnání podle poptávané profese uchazečů o zaměstnání. Jejich detailní rozpad na konkrétnější podskupiny jak za celou Českou republiku, tak za kraje, je uveden v příloze č. 1, neboť určení za celou skupinu může být v některých profesích zavádějící</w:t>
      </w:r>
      <w:r>
        <w:rPr>
          <w:rFonts w:cs="Arial"/>
          <w:iCs/>
        </w:rPr>
        <w:t xml:space="preserve"> (např. ve skupině 722 </w:t>
      </w:r>
      <w:r>
        <w:rPr>
          <w:rFonts w:cs="Arial"/>
          <w:i/>
          <w:iCs/>
        </w:rPr>
        <w:t>Kováři, nástrojaři a příbuzní pracovníci</w:t>
      </w:r>
      <w:r>
        <w:rPr>
          <w:rFonts w:cs="Arial"/>
          <w:iCs/>
        </w:rPr>
        <w:t xml:space="preserve">, bylo v podskupině 7221 </w:t>
      </w:r>
      <w:r>
        <w:rPr>
          <w:rFonts w:cs="Arial"/>
          <w:i/>
          <w:iCs/>
        </w:rPr>
        <w:t>Kováři</w:t>
      </w:r>
      <w:r>
        <w:rPr>
          <w:rFonts w:cs="Arial"/>
          <w:iCs/>
        </w:rPr>
        <w:t xml:space="preserve"> evidováno 160 osob při 43 volných pracovních místech).</w:t>
      </w:r>
    </w:p>
    <w:p w:rsidR="00BC30E5" w:rsidRDefault="00BC30E5" w:rsidP="008D41BF">
      <w:pPr>
        <w:spacing w:line="240" w:lineRule="auto"/>
        <w:rPr>
          <w:rFonts w:cs="Arial"/>
          <w:iCs/>
        </w:rPr>
      </w:pPr>
    </w:p>
    <w:p w:rsidR="00D808F8" w:rsidRPr="00C605D8" w:rsidRDefault="00D808F8" w:rsidP="008D41BF">
      <w:pPr>
        <w:spacing w:line="240" w:lineRule="auto"/>
        <w:rPr>
          <w:rFonts w:cs="Arial"/>
        </w:rPr>
      </w:pPr>
      <w:r w:rsidRPr="00C605D8">
        <w:rPr>
          <w:rFonts w:cs="Arial"/>
          <w:iCs/>
        </w:rPr>
        <w:t xml:space="preserve">Významnou roli v umísťování uchazečů o </w:t>
      </w:r>
      <w:r w:rsidR="002F481E">
        <w:rPr>
          <w:rFonts w:cs="Arial"/>
          <w:iCs/>
        </w:rPr>
        <w:t>zaměstnání nebo obsaz</w:t>
      </w:r>
      <w:r w:rsidRPr="00C605D8">
        <w:rPr>
          <w:rFonts w:cs="Arial"/>
          <w:iCs/>
        </w:rPr>
        <w:t xml:space="preserve">ování volných pracovních míst sehrává i fakt, že mezi evidovanými uchazeči o zaměstnání je vysoký podíl těch, kteří jsou znevýhodněni při hledání pracovního uplatnění zejména kvůli </w:t>
      </w:r>
      <w:r w:rsidRPr="00C605D8">
        <w:rPr>
          <w:rFonts w:cs="Arial"/>
        </w:rPr>
        <w:t xml:space="preserve">jejich zdravotnímu stavu, věku či péči o dítě. U nich existuje důvodný předpoklad delšího setrvání v evidenci uchazečů o zaměstnání i </w:t>
      </w:r>
      <w:r w:rsidR="002F481E">
        <w:rPr>
          <w:rFonts w:cs="Arial"/>
        </w:rPr>
        <w:t>z důvodu nezájmu zaměstnavatelů.</w:t>
      </w:r>
      <w:r w:rsidRPr="00C605D8">
        <w:rPr>
          <w:rFonts w:cs="Arial"/>
        </w:rPr>
        <w:t xml:space="preserve"> </w:t>
      </w:r>
    </w:p>
    <w:p w:rsidR="00D808F8" w:rsidRPr="00C605D8" w:rsidRDefault="00D808F8" w:rsidP="008D41BF">
      <w:pPr>
        <w:spacing w:line="240" w:lineRule="auto"/>
        <w:ind w:firstLine="567"/>
        <w:rPr>
          <w:rFonts w:cs="Arial"/>
          <w:sz w:val="22"/>
        </w:rPr>
      </w:pPr>
    </w:p>
    <w:p w:rsidR="00FD0406" w:rsidRPr="00C605D8" w:rsidRDefault="00FD0406" w:rsidP="008D41BF">
      <w:pPr>
        <w:spacing w:line="240" w:lineRule="auto"/>
        <w:ind w:firstLine="567"/>
        <w:jc w:val="center"/>
        <w:rPr>
          <w:rFonts w:cs="Arial"/>
          <w:szCs w:val="24"/>
        </w:rPr>
      </w:pPr>
      <w:r w:rsidRPr="00C605D8">
        <w:rPr>
          <w:rFonts w:cs="Arial"/>
          <w:b/>
          <w:bCs/>
          <w:szCs w:val="24"/>
        </w:rPr>
        <w:t xml:space="preserve">Podíly vybraných skupin </w:t>
      </w:r>
      <w:proofErr w:type="spellStart"/>
      <w:r w:rsidRPr="00C605D8">
        <w:rPr>
          <w:rFonts w:cs="Arial"/>
          <w:b/>
          <w:bCs/>
          <w:szCs w:val="24"/>
        </w:rPr>
        <w:t>UoZ</w:t>
      </w:r>
      <w:proofErr w:type="spellEnd"/>
      <w:r w:rsidRPr="00C605D8">
        <w:rPr>
          <w:rFonts w:cs="Arial"/>
          <w:b/>
          <w:bCs/>
          <w:szCs w:val="24"/>
        </w:rPr>
        <w:t xml:space="preserve"> na celkovém počtu k 31. 12. 2015 (v%)</w:t>
      </w:r>
    </w:p>
    <w:tbl>
      <w:tblPr>
        <w:tblW w:w="9408" w:type="dxa"/>
        <w:tblCellMar>
          <w:left w:w="70" w:type="dxa"/>
          <w:right w:w="70" w:type="dxa"/>
        </w:tblCellMar>
        <w:tblLook w:val="04A0"/>
      </w:tblPr>
      <w:tblGrid>
        <w:gridCol w:w="1941"/>
        <w:gridCol w:w="909"/>
        <w:gridCol w:w="908"/>
        <w:gridCol w:w="965"/>
        <w:gridCol w:w="908"/>
        <w:gridCol w:w="908"/>
        <w:gridCol w:w="908"/>
        <w:gridCol w:w="1053"/>
        <w:gridCol w:w="908"/>
      </w:tblGrid>
      <w:tr w:rsidR="00D808F8" w:rsidRPr="00C605D8" w:rsidTr="00FD0406">
        <w:trPr>
          <w:trHeight w:val="67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05D8">
              <w:rPr>
                <w:rFonts w:cs="Arial"/>
                <w:b/>
                <w:bCs/>
                <w:sz w:val="16"/>
                <w:szCs w:val="16"/>
              </w:rPr>
              <w:t>ženy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05D8">
              <w:rPr>
                <w:rFonts w:cs="Arial"/>
                <w:b/>
                <w:bCs/>
                <w:sz w:val="16"/>
                <w:szCs w:val="16"/>
              </w:rPr>
              <w:t>OZP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05D8">
              <w:rPr>
                <w:rFonts w:cs="Arial"/>
                <w:b/>
                <w:bCs/>
                <w:sz w:val="16"/>
                <w:szCs w:val="16"/>
              </w:rPr>
              <w:t>osoby pečující o děti do 15 let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05D8">
              <w:rPr>
                <w:rFonts w:cs="Arial"/>
                <w:b/>
                <w:bCs/>
                <w:sz w:val="16"/>
                <w:szCs w:val="16"/>
              </w:rPr>
              <w:t>osoby po MD/RD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05D8">
              <w:rPr>
                <w:rFonts w:cs="Arial"/>
                <w:b/>
                <w:bCs/>
                <w:sz w:val="16"/>
                <w:szCs w:val="16"/>
              </w:rPr>
              <w:t>do 25 let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05D8">
              <w:rPr>
                <w:rFonts w:cs="Arial"/>
                <w:b/>
                <w:bCs/>
                <w:sz w:val="16"/>
                <w:szCs w:val="16"/>
              </w:rPr>
              <w:t>nad 50 let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05D8">
              <w:rPr>
                <w:rFonts w:cs="Arial"/>
                <w:b/>
                <w:bCs/>
                <w:sz w:val="16"/>
                <w:szCs w:val="16"/>
              </w:rPr>
              <w:t xml:space="preserve">bez </w:t>
            </w:r>
            <w:proofErr w:type="spellStart"/>
            <w:r w:rsidRPr="00C605D8">
              <w:rPr>
                <w:rFonts w:cs="Arial"/>
                <w:b/>
                <w:bCs/>
                <w:sz w:val="16"/>
                <w:szCs w:val="16"/>
              </w:rPr>
              <w:t>vzděl</w:t>
            </w:r>
            <w:proofErr w:type="spellEnd"/>
            <w:r w:rsidRPr="00C605D8">
              <w:rPr>
                <w:rFonts w:cs="Arial"/>
                <w:b/>
                <w:bCs/>
                <w:sz w:val="16"/>
                <w:szCs w:val="16"/>
              </w:rPr>
              <w:t>. nebo se základním</w:t>
            </w:r>
            <w:r w:rsidRPr="00C605D8">
              <w:rPr>
                <w:rFonts w:cs="Arial"/>
                <w:b/>
                <w:bCs/>
                <w:sz w:val="16"/>
                <w:szCs w:val="16"/>
              </w:rPr>
              <w:br/>
              <w:t>vzděláním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F8" w:rsidRPr="00C605D8" w:rsidRDefault="00D808F8" w:rsidP="008D41BF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605D8">
              <w:rPr>
                <w:rFonts w:cs="Arial"/>
                <w:b/>
                <w:bCs/>
                <w:sz w:val="16"/>
                <w:szCs w:val="16"/>
              </w:rPr>
              <w:t>evidence nad 12 měsíců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C605D8">
              <w:rPr>
                <w:rFonts w:cs="Arial"/>
                <w:b/>
                <w:bCs/>
                <w:sz w:val="18"/>
                <w:szCs w:val="18"/>
              </w:rPr>
              <w:t>Celkem ČR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05D8">
              <w:rPr>
                <w:rFonts w:cs="Arial"/>
                <w:b/>
                <w:bCs/>
                <w:sz w:val="18"/>
                <w:szCs w:val="18"/>
              </w:rPr>
              <w:t>50,3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05D8">
              <w:rPr>
                <w:rFonts w:cs="Arial"/>
                <w:b/>
                <w:bCs/>
                <w:sz w:val="18"/>
                <w:szCs w:val="18"/>
              </w:rPr>
              <w:t>12,9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C605D8">
              <w:rPr>
                <w:rFonts w:cs="Arial"/>
                <w:b/>
                <w:sz w:val="18"/>
                <w:szCs w:val="18"/>
              </w:rPr>
              <w:t>11,9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05D8">
              <w:rPr>
                <w:rFonts w:cs="Arial"/>
                <w:b/>
                <w:bCs/>
                <w:sz w:val="18"/>
                <w:szCs w:val="18"/>
              </w:rPr>
              <w:t>5,4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05D8">
              <w:rPr>
                <w:rFonts w:cs="Arial"/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05D8">
              <w:rPr>
                <w:rFonts w:cs="Arial"/>
                <w:b/>
                <w:bCs/>
                <w:sz w:val="18"/>
                <w:szCs w:val="18"/>
              </w:rPr>
              <w:t>31,2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05D8">
              <w:rPr>
                <w:rFonts w:cs="Arial"/>
                <w:b/>
                <w:bCs/>
                <w:sz w:val="18"/>
                <w:szCs w:val="18"/>
              </w:rPr>
              <w:t>28,7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C605D8">
              <w:rPr>
                <w:rFonts w:cs="Arial"/>
                <w:b/>
                <w:bCs/>
                <w:sz w:val="18"/>
                <w:szCs w:val="18"/>
              </w:rPr>
              <w:t>41,4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Hl. m. Praha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52,2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7,0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11,0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28,9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19,3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38,2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Středočeský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52,6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12,2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13,8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13,9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31,2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27,2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39,5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Jihočeský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49,9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15,1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12,6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13,1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31,9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24,7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29,4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Plzeňský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52,1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16,4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14,1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13,1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32,5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29,5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35,5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Karlovarský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48,8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10,3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19,2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7,7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14,4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31,1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47,8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45,5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Ústecký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50,9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13,2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15,6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9,3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14,4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28,6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44,4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49,4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Liberecký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52,9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13,1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16,0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14,5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29,7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31,3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39,7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Královéhradecký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49,3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12,4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9,5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14,9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30,9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28,5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34,4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Pardubický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49,3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16,0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14,9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14,4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31,9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26,2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32,3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Kraj Vysočina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49,6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16,5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12,4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13,4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32,5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18,0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38,6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lastRenderedPageBreak/>
              <w:t>Jihomoravský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50,6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13,3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9,3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6,1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13,9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30,0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23,9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42,2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Olomoucký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48,4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12,3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8,1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12,6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33,0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26,9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41,8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Zlínský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49,2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15,0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17,1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13,1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33,5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18,8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37,1</w:t>
            </w:r>
          </w:p>
        </w:tc>
      </w:tr>
      <w:tr w:rsidR="00FB3066" w:rsidRPr="00C605D8" w:rsidTr="002E713D">
        <w:trPr>
          <w:trHeight w:val="34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Moravskoslezský kraj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48,3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9,1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12,7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31,5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066" w:rsidRPr="00C605D8" w:rsidRDefault="00FB3066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49,0</w:t>
            </w:r>
          </w:p>
        </w:tc>
      </w:tr>
    </w:tbl>
    <w:p w:rsidR="00D808F8" w:rsidRPr="00C605D8" w:rsidRDefault="00D808F8" w:rsidP="008D41BF">
      <w:pPr>
        <w:spacing w:line="240" w:lineRule="auto"/>
        <w:ind w:firstLine="567"/>
        <w:rPr>
          <w:rFonts w:cs="Arial"/>
          <w:sz w:val="22"/>
        </w:rPr>
      </w:pPr>
    </w:p>
    <w:p w:rsidR="007C5CF2" w:rsidRDefault="007C5CF2" w:rsidP="008D41BF">
      <w:pPr>
        <w:spacing w:after="200" w:line="240" w:lineRule="auto"/>
        <w:rPr>
          <w:rFonts w:cs="Arial"/>
        </w:rPr>
      </w:pPr>
      <w:r w:rsidRPr="00C605D8">
        <w:rPr>
          <w:rFonts w:cs="Arial"/>
        </w:rPr>
        <w:t>Z pohledu věkové struktury je zastoupení jednotlivých věkových skupin (s výjimkou osob mladších 20 let a starších 60 let) rozprostřeno relativně rovnoměrně s mírně vyšším zastoupení</w:t>
      </w:r>
      <w:r w:rsidR="002F481E">
        <w:rPr>
          <w:rFonts w:cs="Arial"/>
        </w:rPr>
        <w:t>m</w:t>
      </w:r>
      <w:r w:rsidRPr="00C605D8">
        <w:rPr>
          <w:rFonts w:cs="Arial"/>
        </w:rPr>
        <w:t xml:space="preserve"> osob starších 50 let. Průměrný věk uchazečů o zaměstnání ke konci roku 2015 činil 41,4 let (mezi kraji osciloval mezi 40,7 let v případě Ústeckého kraje po 42 let v případě Moravskoslezského kraje).</w:t>
      </w:r>
      <w:r w:rsidR="007E6217">
        <w:rPr>
          <w:rFonts w:cs="Arial"/>
        </w:rPr>
        <w:t xml:space="preserve"> Věkovou strukturu uchazečů o </w:t>
      </w:r>
      <w:r w:rsidR="00831BBC" w:rsidRPr="00C605D8">
        <w:rPr>
          <w:rFonts w:cs="Arial"/>
        </w:rPr>
        <w:t>zaměstnání zobrazuje následující graf, absolutní počty v krajích pak tabulka.</w:t>
      </w:r>
    </w:p>
    <w:p w:rsidR="00BC30E5" w:rsidRPr="00C605D8" w:rsidRDefault="00BC30E5" w:rsidP="008D41BF">
      <w:pPr>
        <w:spacing w:after="200" w:line="240" w:lineRule="auto"/>
        <w:rPr>
          <w:rFonts w:cs="Arial"/>
        </w:rPr>
      </w:pPr>
    </w:p>
    <w:p w:rsidR="00831BBC" w:rsidRDefault="00831BBC" w:rsidP="008D41BF">
      <w:pPr>
        <w:spacing w:after="200" w:line="240" w:lineRule="auto"/>
        <w:rPr>
          <w:rFonts w:cs="Arial"/>
        </w:rPr>
      </w:pPr>
      <w:r w:rsidRPr="00C605D8">
        <w:rPr>
          <w:rFonts w:cs="Arial"/>
          <w:noProof/>
          <w:lang w:eastAsia="cs-CZ"/>
        </w:rPr>
        <w:drawing>
          <wp:inline distT="0" distB="0" distL="0" distR="0">
            <wp:extent cx="5762625" cy="3219450"/>
            <wp:effectExtent l="0" t="0" r="9525" b="190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30E5" w:rsidRDefault="00BC30E5" w:rsidP="008D41BF">
      <w:pPr>
        <w:spacing w:after="200" w:line="240" w:lineRule="auto"/>
        <w:rPr>
          <w:rFonts w:cs="Arial"/>
        </w:rPr>
      </w:pPr>
    </w:p>
    <w:tbl>
      <w:tblPr>
        <w:tblW w:w="928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433"/>
        <w:gridCol w:w="953"/>
        <w:gridCol w:w="896"/>
        <w:gridCol w:w="1052"/>
        <w:gridCol w:w="1052"/>
        <w:gridCol w:w="1052"/>
        <w:gridCol w:w="826"/>
        <w:gridCol w:w="1016"/>
      </w:tblGrid>
      <w:tr w:rsidR="00831BBC" w:rsidRPr="00C605D8" w:rsidTr="002F481E">
        <w:trPr>
          <w:trHeight w:val="300"/>
        </w:trPr>
        <w:tc>
          <w:tcPr>
            <w:tcW w:w="2433" w:type="dxa"/>
            <w:tcBorders>
              <w:top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 </w:t>
            </w:r>
          </w:p>
        </w:tc>
        <w:tc>
          <w:tcPr>
            <w:tcW w:w="583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 věk </w:t>
            </w:r>
          </w:p>
        </w:tc>
        <w:tc>
          <w:tcPr>
            <w:tcW w:w="1016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průměrný</w:t>
            </w:r>
          </w:p>
          <w:p w:rsidR="00831BBC" w:rsidRPr="00C605D8" w:rsidRDefault="00831BBC" w:rsidP="00831BB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věk</w:t>
            </w: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do 19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20-29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30-39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40-49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50-59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C605D8">
              <w:rPr>
                <w:rFonts w:eastAsia="Times New Roman" w:cs="Arial"/>
                <w:sz w:val="20"/>
                <w:szCs w:val="20"/>
                <w:lang w:eastAsia="cs-CZ"/>
              </w:rPr>
              <w:t>nad 60</w:t>
            </w:r>
          </w:p>
        </w:tc>
        <w:tc>
          <w:tcPr>
            <w:tcW w:w="1016" w:type="dxa"/>
            <w:vMerge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Praha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713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7 767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9 515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8 462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8 391</w:t>
            </w: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2</w:t>
            </w:r>
            <w:r w:rsidR="002F481E">
              <w:rPr>
                <w:rFonts w:eastAsia="Times New Roman" w:cs="Arial"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2"/>
                <w:lang w:eastAsia="cs-CZ"/>
              </w:rPr>
              <w:t>370</w:t>
            </w:r>
          </w:p>
        </w:tc>
        <w:tc>
          <w:tcPr>
            <w:tcW w:w="1016" w:type="dxa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41,2</w:t>
            </w: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Středočeský kraj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</w:t>
            </w:r>
            <w:r w:rsidR="002F481E">
              <w:rPr>
                <w:rFonts w:eastAsia="Times New Roman" w:cs="Arial"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2"/>
                <w:lang w:eastAsia="cs-CZ"/>
              </w:rPr>
              <w:t>589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9 833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11 056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10 597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12 045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2</w:t>
            </w:r>
            <w:r w:rsidR="002F481E">
              <w:rPr>
                <w:rFonts w:eastAsia="Times New Roman" w:cs="Arial"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2"/>
                <w:lang w:eastAsia="cs-CZ"/>
              </w:rPr>
              <w:t>982</w:t>
            </w:r>
          </w:p>
        </w:tc>
        <w:tc>
          <w:tcPr>
            <w:tcW w:w="1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41,4</w:t>
            </w: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Jihočeský kraj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683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4 694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4 995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5 003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5 898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</w:t>
            </w:r>
            <w:r w:rsidR="002F481E">
              <w:rPr>
                <w:rFonts w:eastAsia="Times New Roman" w:cs="Arial"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2"/>
                <w:lang w:eastAsia="cs-CZ"/>
              </w:rPr>
              <w:t>303</w:t>
            </w:r>
          </w:p>
        </w:tc>
        <w:tc>
          <w:tcPr>
            <w:tcW w:w="1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41,5</w:t>
            </w: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Plzeňský kraj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616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3 774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4 127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4 026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4 989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</w:t>
            </w:r>
            <w:r w:rsidR="002F481E">
              <w:rPr>
                <w:rFonts w:eastAsia="Times New Roman" w:cs="Arial"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2"/>
                <w:lang w:eastAsia="cs-CZ"/>
              </w:rPr>
              <w:t>055</w:t>
            </w:r>
          </w:p>
        </w:tc>
        <w:tc>
          <w:tcPr>
            <w:tcW w:w="1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41,6</w:t>
            </w: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Karlovarský kraj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626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3 075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3 265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3 304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3 721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905</w:t>
            </w:r>
          </w:p>
        </w:tc>
        <w:tc>
          <w:tcPr>
            <w:tcW w:w="1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41,2</w:t>
            </w: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Ústecký kraj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2</w:t>
            </w:r>
            <w:r w:rsidR="002F481E">
              <w:rPr>
                <w:rFonts w:eastAsia="Times New Roman" w:cs="Arial"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2"/>
                <w:lang w:eastAsia="cs-CZ"/>
              </w:rPr>
              <w:t>133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10 463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11 817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11 840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11 922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2</w:t>
            </w:r>
            <w:r w:rsidR="002F481E">
              <w:rPr>
                <w:rFonts w:eastAsia="Times New Roman" w:cs="Arial"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2"/>
                <w:lang w:eastAsia="cs-CZ"/>
              </w:rPr>
              <w:t>603</w:t>
            </w:r>
          </w:p>
        </w:tc>
        <w:tc>
          <w:tcPr>
            <w:tcW w:w="1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40,7</w:t>
            </w: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Liberecký kraj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763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4 126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4 420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4 411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4 759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</w:t>
            </w:r>
            <w:r w:rsidR="002F481E">
              <w:rPr>
                <w:rFonts w:eastAsia="Times New Roman" w:cs="Arial"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2"/>
                <w:lang w:eastAsia="cs-CZ"/>
              </w:rPr>
              <w:t>028</w:t>
            </w:r>
          </w:p>
        </w:tc>
        <w:tc>
          <w:tcPr>
            <w:tcW w:w="1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40,9</w:t>
            </w: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Královéhradecký kraj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658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4 121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4 039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4 011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4 738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</w:t>
            </w:r>
            <w:r w:rsidR="002F481E">
              <w:rPr>
                <w:rFonts w:eastAsia="Times New Roman" w:cs="Arial"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2"/>
                <w:lang w:eastAsia="cs-CZ"/>
              </w:rPr>
              <w:t>007</w:t>
            </w:r>
          </w:p>
        </w:tc>
        <w:tc>
          <w:tcPr>
            <w:tcW w:w="1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41,0</w:t>
            </w: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Pardubický kraj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654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3 874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3 822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3 965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4 697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</w:t>
            </w:r>
            <w:r w:rsidR="002F481E">
              <w:rPr>
                <w:rFonts w:eastAsia="Times New Roman" w:cs="Arial"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2"/>
                <w:lang w:eastAsia="cs-CZ"/>
              </w:rPr>
              <w:t>063</w:t>
            </w:r>
          </w:p>
        </w:tc>
        <w:tc>
          <w:tcPr>
            <w:tcW w:w="1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41,3</w:t>
            </w: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Kraj Vysočina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571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4 440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4 639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4 696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5 798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</w:t>
            </w:r>
            <w:r w:rsidR="002F481E">
              <w:rPr>
                <w:rFonts w:eastAsia="Times New Roman" w:cs="Arial"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2"/>
                <w:lang w:eastAsia="cs-CZ"/>
              </w:rPr>
              <w:t>124</w:t>
            </w:r>
          </w:p>
        </w:tc>
        <w:tc>
          <w:tcPr>
            <w:tcW w:w="1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41,6</w:t>
            </w: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Jihomoravský kraj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</w:t>
            </w:r>
            <w:r w:rsidR="002F481E">
              <w:rPr>
                <w:rFonts w:eastAsia="Times New Roman" w:cs="Arial"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2"/>
                <w:lang w:eastAsia="cs-CZ"/>
              </w:rPr>
              <w:t>579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12 231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13 050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12 341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13 816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3</w:t>
            </w:r>
            <w:r w:rsidR="002F481E">
              <w:rPr>
                <w:rFonts w:eastAsia="Times New Roman" w:cs="Arial"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sz w:val="22"/>
                <w:lang w:eastAsia="cs-CZ"/>
              </w:rPr>
              <w:t>015</w:t>
            </w:r>
          </w:p>
        </w:tc>
        <w:tc>
          <w:tcPr>
            <w:tcW w:w="1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41,0</w:t>
            </w: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lastRenderedPageBreak/>
              <w:t>Olomoucký kraj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875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6 103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6 787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7 050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8 484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1759</w:t>
            </w:r>
          </w:p>
        </w:tc>
        <w:tc>
          <w:tcPr>
            <w:tcW w:w="1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41,9</w:t>
            </w:r>
          </w:p>
        </w:tc>
      </w:tr>
      <w:tr w:rsidR="00831BBC" w:rsidRPr="00C605D8" w:rsidTr="002F481E">
        <w:trPr>
          <w:trHeight w:val="300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Zlínský kraj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663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4 877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5 128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5 220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6 613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1373</w:t>
            </w:r>
          </w:p>
        </w:tc>
        <w:tc>
          <w:tcPr>
            <w:tcW w:w="101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41,9</w:t>
            </w:r>
          </w:p>
        </w:tc>
      </w:tr>
      <w:tr w:rsidR="00831BBC" w:rsidRPr="00C605D8" w:rsidTr="002F481E">
        <w:trPr>
          <w:trHeight w:val="315"/>
        </w:trPr>
        <w:tc>
          <w:tcPr>
            <w:tcW w:w="2433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Moravskoslezský kraj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2323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14 347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15 351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16 496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19 585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4471</w:t>
            </w:r>
          </w:p>
        </w:tc>
        <w:tc>
          <w:tcPr>
            <w:tcW w:w="101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lang w:eastAsia="cs-CZ"/>
              </w:rPr>
            </w:pPr>
            <w:r w:rsidRPr="00C605D8">
              <w:rPr>
                <w:rFonts w:eastAsia="Times New Roman" w:cs="Arial"/>
                <w:sz w:val="22"/>
                <w:lang w:eastAsia="cs-CZ"/>
              </w:rPr>
              <w:t>42,0</w:t>
            </w:r>
          </w:p>
        </w:tc>
      </w:tr>
      <w:tr w:rsidR="00831BBC" w:rsidRPr="00C605D8" w:rsidTr="002F481E">
        <w:trPr>
          <w:trHeight w:val="330"/>
        </w:trPr>
        <w:tc>
          <w:tcPr>
            <w:tcW w:w="2433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left"/>
              <w:rPr>
                <w:rFonts w:eastAsia="Times New Roman" w:cs="Arial"/>
                <w:b/>
                <w:lang w:eastAsia="cs-CZ"/>
              </w:rPr>
            </w:pPr>
            <w:r w:rsidRPr="00C605D8">
              <w:rPr>
                <w:rFonts w:eastAsia="Times New Roman" w:cs="Arial"/>
                <w:b/>
                <w:sz w:val="22"/>
                <w:lang w:eastAsia="cs-CZ"/>
              </w:rPr>
              <w:t>Celkem ČR</w:t>
            </w:r>
          </w:p>
        </w:tc>
        <w:tc>
          <w:tcPr>
            <w:tcW w:w="953" w:type="dxa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b/>
                <w:lang w:eastAsia="cs-CZ"/>
              </w:rPr>
            </w:pPr>
            <w:r w:rsidRPr="00C605D8">
              <w:rPr>
                <w:rFonts w:eastAsia="Times New Roman" w:cs="Arial"/>
                <w:b/>
                <w:sz w:val="22"/>
                <w:lang w:eastAsia="cs-CZ"/>
              </w:rPr>
              <w:t>14</w:t>
            </w:r>
            <w:r w:rsidR="002F481E">
              <w:rPr>
                <w:rFonts w:eastAsia="Times New Roman" w:cs="Arial"/>
                <w:b/>
                <w:sz w:val="22"/>
                <w:lang w:eastAsia="cs-CZ"/>
              </w:rPr>
              <w:t xml:space="preserve"> </w:t>
            </w:r>
            <w:r w:rsidRPr="00C605D8">
              <w:rPr>
                <w:rFonts w:eastAsia="Times New Roman" w:cs="Arial"/>
                <w:b/>
                <w:sz w:val="22"/>
                <w:lang w:eastAsia="cs-CZ"/>
              </w:rPr>
              <w:t>446</w:t>
            </w:r>
            <w:r w:rsidR="002D0316">
              <w:rPr>
                <w:rStyle w:val="Znakapoznpodarou"/>
                <w:rFonts w:eastAsia="Times New Roman" w:cs="Arial"/>
                <w:b/>
                <w:sz w:val="22"/>
                <w:lang w:eastAsia="cs-CZ"/>
              </w:rPr>
              <w:footnoteReference w:id="1"/>
            </w:r>
          </w:p>
        </w:tc>
        <w:tc>
          <w:tcPr>
            <w:tcW w:w="896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b/>
                <w:lang w:eastAsia="cs-CZ"/>
              </w:rPr>
            </w:pPr>
            <w:r w:rsidRPr="00C605D8">
              <w:rPr>
                <w:rFonts w:eastAsia="Times New Roman" w:cs="Arial"/>
                <w:b/>
                <w:sz w:val="22"/>
                <w:lang w:eastAsia="cs-CZ"/>
              </w:rPr>
              <w:t>93 725</w:t>
            </w:r>
          </w:p>
        </w:tc>
        <w:tc>
          <w:tcPr>
            <w:tcW w:w="105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b/>
                <w:lang w:eastAsia="cs-CZ"/>
              </w:rPr>
            </w:pPr>
            <w:r w:rsidRPr="00C605D8">
              <w:rPr>
                <w:rFonts w:eastAsia="Times New Roman" w:cs="Arial"/>
                <w:b/>
                <w:sz w:val="22"/>
                <w:lang w:eastAsia="cs-CZ"/>
              </w:rPr>
              <w:t>102 011</w:t>
            </w:r>
          </w:p>
        </w:tc>
        <w:tc>
          <w:tcPr>
            <w:tcW w:w="105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b/>
                <w:lang w:eastAsia="cs-CZ"/>
              </w:rPr>
            </w:pPr>
            <w:r w:rsidRPr="00C605D8">
              <w:rPr>
                <w:rFonts w:eastAsia="Times New Roman" w:cs="Arial"/>
                <w:b/>
                <w:sz w:val="22"/>
                <w:lang w:eastAsia="cs-CZ"/>
              </w:rPr>
              <w:t>101 422</w:t>
            </w:r>
          </w:p>
        </w:tc>
        <w:tc>
          <w:tcPr>
            <w:tcW w:w="1052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b/>
                <w:lang w:eastAsia="cs-CZ"/>
              </w:rPr>
            </w:pPr>
            <w:r w:rsidRPr="00C605D8">
              <w:rPr>
                <w:rFonts w:eastAsia="Times New Roman" w:cs="Arial"/>
                <w:b/>
                <w:sz w:val="22"/>
                <w:lang w:eastAsia="cs-CZ"/>
              </w:rPr>
              <w:t>115 456</w:t>
            </w:r>
          </w:p>
        </w:tc>
        <w:tc>
          <w:tcPr>
            <w:tcW w:w="826" w:type="dxa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b/>
                <w:lang w:eastAsia="cs-CZ"/>
              </w:rPr>
            </w:pPr>
            <w:r w:rsidRPr="00C605D8">
              <w:rPr>
                <w:rFonts w:eastAsia="Times New Roman" w:cs="Arial"/>
                <w:b/>
                <w:sz w:val="22"/>
                <w:lang w:eastAsia="cs-CZ"/>
              </w:rPr>
              <w:t>26058</w:t>
            </w:r>
          </w:p>
        </w:tc>
        <w:tc>
          <w:tcPr>
            <w:tcW w:w="1016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831BBC" w:rsidRPr="00C605D8" w:rsidRDefault="00831BBC" w:rsidP="00831BBC">
            <w:pPr>
              <w:spacing w:line="240" w:lineRule="auto"/>
              <w:jc w:val="right"/>
              <w:rPr>
                <w:rFonts w:eastAsia="Times New Roman" w:cs="Arial"/>
                <w:b/>
                <w:lang w:eastAsia="cs-CZ"/>
              </w:rPr>
            </w:pPr>
            <w:r w:rsidRPr="00C605D8">
              <w:rPr>
                <w:rFonts w:eastAsia="Times New Roman" w:cs="Arial"/>
                <w:b/>
                <w:sz w:val="22"/>
                <w:lang w:eastAsia="cs-CZ"/>
              </w:rPr>
              <w:t>41,4</w:t>
            </w:r>
          </w:p>
        </w:tc>
      </w:tr>
    </w:tbl>
    <w:p w:rsidR="00831BBC" w:rsidRPr="00C605D8" w:rsidRDefault="00831BBC" w:rsidP="008D41BF">
      <w:pPr>
        <w:spacing w:after="200" w:line="240" w:lineRule="auto"/>
        <w:rPr>
          <w:rFonts w:cs="Arial"/>
        </w:rPr>
      </w:pPr>
    </w:p>
    <w:p w:rsidR="008D41BF" w:rsidRPr="00C605D8" w:rsidRDefault="007F5B45" w:rsidP="008D41BF">
      <w:pPr>
        <w:spacing w:after="200" w:line="240" w:lineRule="auto"/>
        <w:rPr>
          <w:rFonts w:cs="Arial"/>
        </w:rPr>
      </w:pPr>
      <w:r w:rsidRPr="00C605D8">
        <w:rPr>
          <w:rFonts w:cs="Arial"/>
        </w:rPr>
        <w:t xml:space="preserve">V evidenci uchazečů o zaměstnání z pohledu vzdělanostní struktury dominují zejména osoby s nižším vzděláním, a to dlouhodobě. </w:t>
      </w:r>
      <w:r w:rsidR="008F1EBE" w:rsidRPr="00C605D8">
        <w:rPr>
          <w:rFonts w:cs="Arial"/>
        </w:rPr>
        <w:t xml:space="preserve">Podíl uchazečů o zaměstnání s nejvýše ukončeným základním vzděláním a vyučených tvoří dlouhodobě zhruba dvě třetiny všech uchazečů. </w:t>
      </w:r>
      <w:r w:rsidRPr="00C605D8">
        <w:rPr>
          <w:rFonts w:cs="Arial"/>
        </w:rPr>
        <w:t>K popisu vzdělan</w:t>
      </w:r>
      <w:r w:rsidR="001A4A7D">
        <w:rPr>
          <w:rFonts w:cs="Arial"/>
        </w:rPr>
        <w:t>ostní struktury mezi uchazeči o </w:t>
      </w:r>
      <w:r w:rsidRPr="00C605D8">
        <w:rPr>
          <w:rFonts w:cs="Arial"/>
        </w:rPr>
        <w:t>zaměstnání je vhodné zvolit termín 30. 9., kdy do evidence uchazečů o zaměstnání vstupuje nejvyšší počet absolventů. Z důvodu možnosti porovnat situaci mezi uchazeči o zaměstnání celkem a uchazeči o zaměstnání, kteří jsou absolventi, níže uvádíme statistiky právě k tomuto datu</w:t>
      </w:r>
      <w:r w:rsidR="008D41BF" w:rsidRPr="00C605D8">
        <w:rPr>
          <w:rFonts w:cs="Arial"/>
        </w:rPr>
        <w:t>.</w:t>
      </w:r>
    </w:p>
    <w:p w:rsidR="008D41BF" w:rsidRPr="00C605D8" w:rsidRDefault="008D41BF" w:rsidP="008D41BF">
      <w:pPr>
        <w:spacing w:after="200" w:line="240" w:lineRule="auto"/>
        <w:rPr>
          <w:rFonts w:cs="Arial"/>
        </w:rPr>
      </w:pPr>
      <w:r w:rsidRPr="00C605D8">
        <w:rPr>
          <w:rFonts w:cs="Arial"/>
          <w:noProof/>
          <w:lang w:eastAsia="cs-CZ"/>
        </w:rPr>
        <w:drawing>
          <wp:inline distT="0" distB="0" distL="0" distR="0">
            <wp:extent cx="5667375" cy="3905250"/>
            <wp:effectExtent l="0" t="0" r="9525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5B45" w:rsidRPr="00C605D8" w:rsidRDefault="008D41BF" w:rsidP="008D41BF">
      <w:pPr>
        <w:spacing w:after="200" w:line="240" w:lineRule="auto"/>
        <w:rPr>
          <w:rFonts w:cs="Arial"/>
        </w:rPr>
      </w:pPr>
      <w:r w:rsidRPr="00C605D8">
        <w:rPr>
          <w:rFonts w:cs="Arial"/>
          <w:noProof/>
          <w:lang w:eastAsia="cs-CZ"/>
        </w:rPr>
        <w:lastRenderedPageBreak/>
        <w:drawing>
          <wp:inline distT="0" distB="0" distL="0" distR="0">
            <wp:extent cx="5667375" cy="3943350"/>
            <wp:effectExtent l="0" t="0" r="9525" b="190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F5B45" w:rsidRPr="00C605D8">
        <w:rPr>
          <w:rFonts w:cs="Arial"/>
        </w:rPr>
        <w:t xml:space="preserve"> </w:t>
      </w:r>
    </w:p>
    <w:p w:rsidR="008F1EBE" w:rsidRPr="00C605D8" w:rsidRDefault="008F1EBE" w:rsidP="008D41BF">
      <w:pPr>
        <w:spacing w:after="200" w:line="240" w:lineRule="auto"/>
        <w:rPr>
          <w:rFonts w:cs="Arial"/>
        </w:rPr>
      </w:pPr>
      <w:r w:rsidRPr="00C605D8">
        <w:rPr>
          <w:rFonts w:cs="Arial"/>
        </w:rPr>
        <w:t>Obory vzdělání jsou v případě uchazečů o zaměstnání sledovány pouze u</w:t>
      </w:r>
      <w:r w:rsidR="00B11E53">
        <w:rPr>
          <w:rFonts w:cs="Arial"/>
        </w:rPr>
        <w:t> </w:t>
      </w:r>
      <w:r w:rsidRPr="00C605D8">
        <w:rPr>
          <w:rFonts w:cs="Arial"/>
        </w:rPr>
        <w:t xml:space="preserve">absolventů. Rozbor zastoupení jednotlivých oborů podle stupně vzdělání u této sledované skupiny je uveden </w:t>
      </w:r>
      <w:r w:rsidRPr="00731744">
        <w:rPr>
          <w:rFonts w:cs="Arial"/>
        </w:rPr>
        <w:t>v </w:t>
      </w:r>
      <w:r w:rsidR="00731744" w:rsidRPr="00731744">
        <w:rPr>
          <w:rFonts w:cs="Arial"/>
        </w:rPr>
        <w:t>Příloze č. 2</w:t>
      </w:r>
      <w:r w:rsidR="001A4A7D">
        <w:rPr>
          <w:rFonts w:cs="Arial"/>
        </w:rPr>
        <w:t>.</w:t>
      </w:r>
    </w:p>
    <w:p w:rsidR="00CF747D" w:rsidRPr="00C605D8" w:rsidRDefault="00CF747D" w:rsidP="008D41BF">
      <w:pPr>
        <w:spacing w:after="200" w:line="240" w:lineRule="auto"/>
        <w:rPr>
          <w:rFonts w:cs="Arial"/>
        </w:rPr>
      </w:pPr>
      <w:r w:rsidRPr="00C605D8">
        <w:rPr>
          <w:rFonts w:cs="Arial"/>
        </w:rPr>
        <w:t>V posledních letech výrazně narůstá podíl uchazečů o zaměstnání, kteří na základě § 25 odst. 3 zákona č. 435/2004 Sb., o zaměstnanosti, ve znění pozdějších předpisů, vykonávají tzv. nekolidující zaměstnání. V prosinci 2015 vykonávalo alespoň jeden den v měsíci takovouto činnost 63 462 uchazečů o zaměstnání, tj. 14 % všech uchazečů. Vyšší využívání nekolidujícího zaměstnání lze vysledovat v regionech s vyšší nezaměstnaností, např. v Moravskoslezském kraji takovouto činnost vykonávalo 17,4 % uchazečů o zaměstnání (Bruntál – 19,3 %, Nový Jičín – 13,7 %)</w:t>
      </w:r>
      <w:r w:rsidR="00B41B99" w:rsidRPr="00C605D8">
        <w:rPr>
          <w:rFonts w:cs="Arial"/>
        </w:rPr>
        <w:t>, oproti tomu v Plzeňském kraji vykonávalo nekolidující zaměstnání jen 11 % uchazečů o zaměstnání</w:t>
      </w:r>
      <w:r w:rsidR="002F481E">
        <w:rPr>
          <w:rFonts w:cs="Arial"/>
        </w:rPr>
        <w:t>,</w:t>
      </w:r>
      <w:r w:rsidR="002628BE" w:rsidRPr="00C605D8">
        <w:rPr>
          <w:rFonts w:cs="Arial"/>
        </w:rPr>
        <w:t xml:space="preserve"> v hlavním městě Praze pak 9,6 %.</w:t>
      </w:r>
      <w:r w:rsidR="008E1B6B" w:rsidRPr="00C605D8">
        <w:rPr>
          <w:rFonts w:cs="Arial"/>
        </w:rPr>
        <w:t xml:space="preserve"> </w:t>
      </w:r>
    </w:p>
    <w:tbl>
      <w:tblPr>
        <w:tblW w:w="91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3"/>
        <w:gridCol w:w="1695"/>
        <w:gridCol w:w="1144"/>
        <w:gridCol w:w="1144"/>
        <w:gridCol w:w="1508"/>
        <w:gridCol w:w="1077"/>
      </w:tblGrid>
      <w:tr w:rsidR="00C605D8" w:rsidRPr="002628BE" w:rsidTr="009B0B75">
        <w:trPr>
          <w:trHeight w:val="954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BE" w:rsidRPr="002628BE" w:rsidRDefault="002628BE" w:rsidP="002628B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Kraje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BE" w:rsidRPr="002628BE" w:rsidRDefault="002628BE" w:rsidP="002628B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 xml:space="preserve">uchazeči </w:t>
            </w: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br/>
              <w:t>o zaměstnání</w:t>
            </w: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br/>
              <w:t>k 31.12.2015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BE" w:rsidRPr="002628BE" w:rsidRDefault="002628BE" w:rsidP="002628B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proofErr w:type="spellStart"/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nekolid</w:t>
            </w:r>
            <w:proofErr w:type="spellEnd"/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 xml:space="preserve">. zaměstnání </w:t>
            </w: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br/>
              <w:t>k 31.12.2015</w:t>
            </w:r>
          </w:p>
        </w:tc>
        <w:tc>
          <w:tcPr>
            <w:tcW w:w="25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28BE" w:rsidRPr="002628BE" w:rsidRDefault="002628BE" w:rsidP="002628B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proofErr w:type="spellStart"/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nekolid</w:t>
            </w:r>
            <w:proofErr w:type="spellEnd"/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 xml:space="preserve">. </w:t>
            </w:r>
            <w:proofErr w:type="spellStart"/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zam</w:t>
            </w:r>
            <w:proofErr w:type="spellEnd"/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 xml:space="preserve">. </w:t>
            </w: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br/>
              <w:t>alespoň 1 den v měsíci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BE" w:rsidRPr="002628BE" w:rsidRDefault="002628BE" w:rsidP="002628B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celkem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BE" w:rsidRPr="002628BE" w:rsidRDefault="002628BE" w:rsidP="002628B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celkem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BE" w:rsidRPr="002628BE" w:rsidRDefault="002628BE" w:rsidP="002628B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 xml:space="preserve">ženy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BE" w:rsidRPr="002628BE" w:rsidRDefault="002628BE" w:rsidP="002628B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celkem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podíl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Praha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37 218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3 006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1 872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3 556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9,6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Středočeský kraj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48 102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4 814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3 260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5 805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12,1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Jihočeský kraj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22 576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2 212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1 504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2 805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12,4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Plzeňský kraj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18 587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1 674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1 145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2 037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11,0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Karlovarský kraj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14 896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1 536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939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1 798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12,1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Ústecký kraj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50 778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5 419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3 206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6 606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13,0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Liberecký kraj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19 507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2 153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1 466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2 625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13,5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lastRenderedPageBreak/>
              <w:t>Královéhradecký kraj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18 574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2 383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1 577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2 967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16,0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Pardubický kraj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18 075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2 024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1 342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2 562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14,2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Kraj Vysočina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21 268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2 663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1 861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3 236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15,2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Jihomoravský kraj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56 032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6 510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4 337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7 849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14,0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Olomoucký kraj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31 058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3 846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2 471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4 764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15,3</w:t>
            </w:r>
          </w:p>
        </w:tc>
      </w:tr>
      <w:tr w:rsidR="00C605D8" w:rsidRPr="002628BE" w:rsidTr="009B0B75">
        <w:trPr>
          <w:trHeight w:val="318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Zlínský kraj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23 874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3 307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2 253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4 211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17,6</w:t>
            </w:r>
          </w:p>
        </w:tc>
      </w:tr>
      <w:tr w:rsidR="00C605D8" w:rsidRPr="002628BE" w:rsidTr="009B0B75">
        <w:trPr>
          <w:trHeight w:val="333"/>
        </w:trPr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Moravskoslezský kraj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72 573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10 540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6 451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12 641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sz w:val="22"/>
                <w:lang w:eastAsia="cs-CZ"/>
              </w:rPr>
              <w:t>17,4</w:t>
            </w:r>
          </w:p>
        </w:tc>
      </w:tr>
      <w:tr w:rsidR="00C605D8" w:rsidRPr="002628BE" w:rsidTr="009B0B75">
        <w:trPr>
          <w:trHeight w:val="333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  <w:t>Celkem ČR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  <w:t>453 118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  <w:t>52 087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  <w:t>33 684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  <w:t>63 462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28BE" w:rsidRPr="002628BE" w:rsidRDefault="002628BE" w:rsidP="002628BE">
            <w:pPr>
              <w:spacing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eastAsia="cs-CZ"/>
              </w:rPr>
            </w:pPr>
            <w:r w:rsidRPr="002628BE">
              <w:rPr>
                <w:rFonts w:asciiTheme="minorHAnsi" w:eastAsia="Times New Roman" w:hAnsiTheme="minorHAnsi" w:cs="Arial"/>
                <w:b/>
                <w:bCs/>
                <w:sz w:val="22"/>
                <w:lang w:eastAsia="cs-CZ"/>
              </w:rPr>
              <w:t>14,0</w:t>
            </w:r>
          </w:p>
        </w:tc>
      </w:tr>
    </w:tbl>
    <w:p w:rsidR="00BC30E5" w:rsidRDefault="00BC30E5" w:rsidP="008D41BF">
      <w:pPr>
        <w:spacing w:after="200" w:line="240" w:lineRule="auto"/>
        <w:rPr>
          <w:rFonts w:cs="Arial"/>
        </w:rPr>
      </w:pPr>
    </w:p>
    <w:p w:rsidR="009B0B75" w:rsidRPr="00C605D8" w:rsidRDefault="009B0B75" w:rsidP="008D41BF">
      <w:pPr>
        <w:spacing w:after="200" w:line="240" w:lineRule="auto"/>
        <w:rPr>
          <w:rFonts w:cs="Arial"/>
        </w:rPr>
      </w:pPr>
      <w:r w:rsidRPr="00C605D8">
        <w:rPr>
          <w:rFonts w:cs="Arial"/>
        </w:rPr>
        <w:t>Historický vývoj absolutního počtu a podílu uchazečů o zaměstnání (na celkovém počtu uchazečů o zaměstnání v roce), kteří alespoň jeden den v měsíci vykonávali nekolidující zaměstnání, ukazuje následující tabulka a graf:</w:t>
      </w:r>
    </w:p>
    <w:tbl>
      <w:tblPr>
        <w:tblStyle w:val="Mkatabulky"/>
        <w:tblW w:w="0" w:type="auto"/>
        <w:tblLook w:val="04A0"/>
      </w:tblPr>
      <w:tblGrid>
        <w:gridCol w:w="77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C605D8" w:rsidRPr="00C605D8" w:rsidTr="00135E5B">
        <w:trPr>
          <w:trHeight w:val="318"/>
        </w:trPr>
        <w:tc>
          <w:tcPr>
            <w:tcW w:w="0" w:type="auto"/>
          </w:tcPr>
          <w:p w:rsidR="009B0B75" w:rsidRPr="00135E5B" w:rsidRDefault="009B0B75" w:rsidP="008D41BF">
            <w:pPr>
              <w:spacing w:after="20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</w:tcPr>
          <w:p w:rsidR="009B0B75" w:rsidRPr="00135E5B" w:rsidRDefault="009B0B75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2006</w:t>
            </w:r>
          </w:p>
        </w:tc>
        <w:tc>
          <w:tcPr>
            <w:tcW w:w="0" w:type="auto"/>
          </w:tcPr>
          <w:p w:rsidR="009B0B75" w:rsidRPr="00135E5B" w:rsidRDefault="009B0B75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2007</w:t>
            </w:r>
          </w:p>
        </w:tc>
        <w:tc>
          <w:tcPr>
            <w:tcW w:w="0" w:type="auto"/>
          </w:tcPr>
          <w:p w:rsidR="009B0B75" w:rsidRPr="00135E5B" w:rsidRDefault="009B0B75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2008</w:t>
            </w:r>
          </w:p>
        </w:tc>
        <w:tc>
          <w:tcPr>
            <w:tcW w:w="0" w:type="auto"/>
          </w:tcPr>
          <w:p w:rsidR="009B0B75" w:rsidRPr="00135E5B" w:rsidRDefault="009B0B75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2009</w:t>
            </w:r>
          </w:p>
        </w:tc>
        <w:tc>
          <w:tcPr>
            <w:tcW w:w="0" w:type="auto"/>
          </w:tcPr>
          <w:p w:rsidR="009B0B75" w:rsidRPr="00135E5B" w:rsidRDefault="009B0B75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2010</w:t>
            </w:r>
          </w:p>
        </w:tc>
        <w:tc>
          <w:tcPr>
            <w:tcW w:w="0" w:type="auto"/>
          </w:tcPr>
          <w:p w:rsidR="009B0B75" w:rsidRPr="00135E5B" w:rsidRDefault="009B0B75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2011</w:t>
            </w:r>
          </w:p>
        </w:tc>
        <w:tc>
          <w:tcPr>
            <w:tcW w:w="0" w:type="auto"/>
          </w:tcPr>
          <w:p w:rsidR="009B0B75" w:rsidRPr="00135E5B" w:rsidRDefault="009B0B75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2012</w:t>
            </w:r>
          </w:p>
        </w:tc>
        <w:tc>
          <w:tcPr>
            <w:tcW w:w="0" w:type="auto"/>
          </w:tcPr>
          <w:p w:rsidR="009B0B75" w:rsidRPr="00135E5B" w:rsidRDefault="009B0B75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2013</w:t>
            </w:r>
          </w:p>
        </w:tc>
        <w:tc>
          <w:tcPr>
            <w:tcW w:w="0" w:type="auto"/>
          </w:tcPr>
          <w:p w:rsidR="009B0B75" w:rsidRPr="00135E5B" w:rsidRDefault="009B0B75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2014</w:t>
            </w:r>
          </w:p>
        </w:tc>
      </w:tr>
      <w:tr w:rsidR="00C605D8" w:rsidRPr="00C605D8" w:rsidTr="00135E5B">
        <w:trPr>
          <w:trHeight w:val="318"/>
        </w:trPr>
        <w:tc>
          <w:tcPr>
            <w:tcW w:w="0" w:type="auto"/>
          </w:tcPr>
          <w:p w:rsidR="009B0B75" w:rsidRPr="00135E5B" w:rsidRDefault="009B0B75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 xml:space="preserve"> počet</w:t>
            </w:r>
          </w:p>
        </w:tc>
        <w:tc>
          <w:tcPr>
            <w:tcW w:w="0" w:type="auto"/>
          </w:tcPr>
          <w:p w:rsidR="009B0B75" w:rsidRPr="00135E5B" w:rsidRDefault="009B0B75" w:rsidP="000724B4">
            <w:pPr>
              <w:rPr>
                <w:rFonts w:asciiTheme="minorHAnsi" w:hAnsiTheme="minorHAnsi"/>
              </w:rPr>
            </w:pPr>
            <w:r w:rsidRPr="00135E5B">
              <w:rPr>
                <w:rFonts w:asciiTheme="minorHAnsi" w:hAnsiTheme="minorHAnsi"/>
              </w:rPr>
              <w:t>24 583</w:t>
            </w:r>
          </w:p>
        </w:tc>
        <w:tc>
          <w:tcPr>
            <w:tcW w:w="0" w:type="auto"/>
          </w:tcPr>
          <w:p w:rsidR="009B0B75" w:rsidRPr="00135E5B" w:rsidRDefault="009B0B75" w:rsidP="000724B4">
            <w:pPr>
              <w:rPr>
                <w:rFonts w:asciiTheme="minorHAnsi" w:hAnsiTheme="minorHAnsi"/>
              </w:rPr>
            </w:pPr>
            <w:r w:rsidRPr="00135E5B">
              <w:rPr>
                <w:rFonts w:asciiTheme="minorHAnsi" w:hAnsiTheme="minorHAnsi"/>
              </w:rPr>
              <w:t>27 435</w:t>
            </w:r>
          </w:p>
        </w:tc>
        <w:tc>
          <w:tcPr>
            <w:tcW w:w="0" w:type="auto"/>
          </w:tcPr>
          <w:p w:rsidR="009B0B75" w:rsidRPr="00135E5B" w:rsidRDefault="009B0B75" w:rsidP="000724B4">
            <w:pPr>
              <w:rPr>
                <w:rFonts w:asciiTheme="minorHAnsi" w:hAnsiTheme="minorHAnsi"/>
              </w:rPr>
            </w:pPr>
            <w:r w:rsidRPr="00135E5B">
              <w:rPr>
                <w:rFonts w:asciiTheme="minorHAnsi" w:hAnsiTheme="minorHAnsi"/>
              </w:rPr>
              <w:t>26 593</w:t>
            </w:r>
          </w:p>
        </w:tc>
        <w:tc>
          <w:tcPr>
            <w:tcW w:w="0" w:type="auto"/>
          </w:tcPr>
          <w:p w:rsidR="009B0B75" w:rsidRPr="00135E5B" w:rsidRDefault="009B0B75" w:rsidP="000724B4">
            <w:pPr>
              <w:rPr>
                <w:rFonts w:asciiTheme="minorHAnsi" w:hAnsiTheme="minorHAnsi"/>
              </w:rPr>
            </w:pPr>
            <w:r w:rsidRPr="00135E5B">
              <w:rPr>
                <w:rFonts w:asciiTheme="minorHAnsi" w:hAnsiTheme="minorHAnsi"/>
              </w:rPr>
              <w:t>43 987</w:t>
            </w:r>
          </w:p>
        </w:tc>
        <w:tc>
          <w:tcPr>
            <w:tcW w:w="0" w:type="auto"/>
          </w:tcPr>
          <w:p w:rsidR="009B0B75" w:rsidRPr="00135E5B" w:rsidRDefault="009B0B75" w:rsidP="000724B4">
            <w:pPr>
              <w:rPr>
                <w:rFonts w:asciiTheme="minorHAnsi" w:hAnsiTheme="minorHAnsi"/>
              </w:rPr>
            </w:pPr>
            <w:r w:rsidRPr="00135E5B">
              <w:rPr>
                <w:rFonts w:asciiTheme="minorHAnsi" w:hAnsiTheme="minorHAnsi"/>
              </w:rPr>
              <w:t>59 610</w:t>
            </w:r>
          </w:p>
        </w:tc>
        <w:tc>
          <w:tcPr>
            <w:tcW w:w="0" w:type="auto"/>
          </w:tcPr>
          <w:p w:rsidR="009B0B75" w:rsidRPr="00135E5B" w:rsidRDefault="00966099" w:rsidP="000724B4">
            <w:pPr>
              <w:rPr>
                <w:rFonts w:asciiTheme="minorHAnsi" w:hAnsiTheme="minorHAnsi"/>
              </w:rPr>
            </w:pPr>
            <w:r w:rsidRPr="00135E5B">
              <w:rPr>
                <w:rFonts w:asciiTheme="minorHAnsi" w:hAnsiTheme="minorHAnsi"/>
              </w:rPr>
              <w:t>48 469</w:t>
            </w:r>
          </w:p>
        </w:tc>
        <w:tc>
          <w:tcPr>
            <w:tcW w:w="0" w:type="auto"/>
          </w:tcPr>
          <w:p w:rsidR="009B0B75" w:rsidRPr="00135E5B" w:rsidRDefault="00966099" w:rsidP="000724B4">
            <w:pPr>
              <w:rPr>
                <w:rFonts w:asciiTheme="minorHAnsi" w:hAnsiTheme="minorHAnsi"/>
              </w:rPr>
            </w:pPr>
            <w:r w:rsidRPr="00135E5B">
              <w:rPr>
                <w:rFonts w:asciiTheme="minorHAnsi" w:hAnsiTheme="minorHAnsi"/>
              </w:rPr>
              <w:t>42 055</w:t>
            </w:r>
          </w:p>
        </w:tc>
        <w:tc>
          <w:tcPr>
            <w:tcW w:w="0" w:type="auto"/>
          </w:tcPr>
          <w:p w:rsidR="009B0B75" w:rsidRPr="00135E5B" w:rsidRDefault="00966099" w:rsidP="000724B4">
            <w:pPr>
              <w:rPr>
                <w:rFonts w:asciiTheme="minorHAnsi" w:hAnsiTheme="minorHAnsi"/>
              </w:rPr>
            </w:pPr>
            <w:r w:rsidRPr="00135E5B">
              <w:rPr>
                <w:rFonts w:asciiTheme="minorHAnsi" w:hAnsiTheme="minorHAnsi"/>
              </w:rPr>
              <w:t>47 171</w:t>
            </w:r>
          </w:p>
        </w:tc>
        <w:tc>
          <w:tcPr>
            <w:tcW w:w="0" w:type="auto"/>
          </w:tcPr>
          <w:p w:rsidR="009B0B75" w:rsidRPr="00135E5B" w:rsidRDefault="00966099" w:rsidP="000724B4">
            <w:pPr>
              <w:rPr>
                <w:rFonts w:asciiTheme="minorHAnsi" w:hAnsiTheme="minorHAnsi"/>
              </w:rPr>
            </w:pPr>
            <w:r w:rsidRPr="00135E5B">
              <w:rPr>
                <w:rFonts w:asciiTheme="minorHAnsi" w:hAnsiTheme="minorHAnsi"/>
              </w:rPr>
              <w:t>70 729</w:t>
            </w:r>
          </w:p>
        </w:tc>
      </w:tr>
      <w:tr w:rsidR="00C605D8" w:rsidRPr="00C605D8" w:rsidTr="00135E5B">
        <w:trPr>
          <w:trHeight w:val="318"/>
        </w:trPr>
        <w:tc>
          <w:tcPr>
            <w:tcW w:w="0" w:type="auto"/>
          </w:tcPr>
          <w:p w:rsidR="009B0B75" w:rsidRPr="00135E5B" w:rsidRDefault="009B0B75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podíl</w:t>
            </w:r>
          </w:p>
        </w:tc>
        <w:tc>
          <w:tcPr>
            <w:tcW w:w="0" w:type="auto"/>
          </w:tcPr>
          <w:p w:rsidR="009B0B75" w:rsidRPr="00135E5B" w:rsidRDefault="00966099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5,2 %</w:t>
            </w:r>
          </w:p>
        </w:tc>
        <w:tc>
          <w:tcPr>
            <w:tcW w:w="0" w:type="auto"/>
          </w:tcPr>
          <w:p w:rsidR="009B0B75" w:rsidRPr="00135E5B" w:rsidRDefault="00966099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7,0 %</w:t>
            </w:r>
          </w:p>
        </w:tc>
        <w:tc>
          <w:tcPr>
            <w:tcW w:w="0" w:type="auto"/>
          </w:tcPr>
          <w:p w:rsidR="009B0B75" w:rsidRPr="00135E5B" w:rsidRDefault="00966099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8,2 %</w:t>
            </w:r>
          </w:p>
        </w:tc>
        <w:tc>
          <w:tcPr>
            <w:tcW w:w="0" w:type="auto"/>
          </w:tcPr>
          <w:p w:rsidR="009B0B75" w:rsidRPr="00135E5B" w:rsidRDefault="00966099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9,4 %</w:t>
            </w:r>
          </w:p>
        </w:tc>
        <w:tc>
          <w:tcPr>
            <w:tcW w:w="0" w:type="auto"/>
          </w:tcPr>
          <w:p w:rsidR="009B0B75" w:rsidRPr="00135E5B" w:rsidRDefault="00966099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11,3 %</w:t>
            </w:r>
          </w:p>
        </w:tc>
        <w:tc>
          <w:tcPr>
            <w:tcW w:w="0" w:type="auto"/>
          </w:tcPr>
          <w:p w:rsidR="009B0B75" w:rsidRPr="00135E5B" w:rsidRDefault="00966099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9,5 %</w:t>
            </w:r>
          </w:p>
        </w:tc>
        <w:tc>
          <w:tcPr>
            <w:tcW w:w="0" w:type="auto"/>
          </w:tcPr>
          <w:p w:rsidR="009B0B75" w:rsidRPr="00135E5B" w:rsidRDefault="00966099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8,3 %</w:t>
            </w:r>
          </w:p>
        </w:tc>
        <w:tc>
          <w:tcPr>
            <w:tcW w:w="0" w:type="auto"/>
          </w:tcPr>
          <w:p w:rsidR="009B0B75" w:rsidRPr="00135E5B" w:rsidRDefault="00966099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8,4 %</w:t>
            </w:r>
          </w:p>
        </w:tc>
        <w:tc>
          <w:tcPr>
            <w:tcW w:w="0" w:type="auto"/>
          </w:tcPr>
          <w:p w:rsidR="009B0B75" w:rsidRPr="00135E5B" w:rsidRDefault="00966099" w:rsidP="008D41BF">
            <w:pPr>
              <w:spacing w:after="200"/>
              <w:rPr>
                <w:rFonts w:asciiTheme="minorHAnsi" w:hAnsiTheme="minorHAnsi" w:cs="Arial"/>
              </w:rPr>
            </w:pPr>
            <w:r w:rsidRPr="00135E5B">
              <w:rPr>
                <w:rFonts w:asciiTheme="minorHAnsi" w:hAnsiTheme="minorHAnsi" w:cs="Arial"/>
              </w:rPr>
              <w:t>12,6 %</w:t>
            </w:r>
          </w:p>
        </w:tc>
      </w:tr>
    </w:tbl>
    <w:p w:rsidR="009B0B75" w:rsidRPr="00C605D8" w:rsidRDefault="009B0B75" w:rsidP="008D41BF">
      <w:pPr>
        <w:spacing w:after="200" w:line="240" w:lineRule="auto"/>
        <w:rPr>
          <w:rFonts w:cs="Arial"/>
        </w:rPr>
      </w:pPr>
    </w:p>
    <w:p w:rsidR="009B0B75" w:rsidRPr="00C605D8" w:rsidRDefault="009B0B75" w:rsidP="008D41BF">
      <w:pPr>
        <w:spacing w:after="200" w:line="240" w:lineRule="auto"/>
        <w:rPr>
          <w:rFonts w:cs="Arial"/>
        </w:rPr>
      </w:pPr>
      <w:r w:rsidRPr="00C605D8">
        <w:rPr>
          <w:rFonts w:cs="Arial"/>
          <w:noProof/>
          <w:lang w:eastAsia="cs-CZ"/>
        </w:rPr>
        <w:drawing>
          <wp:inline distT="0" distB="0" distL="0" distR="0">
            <wp:extent cx="4924425" cy="233362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628BE" w:rsidRDefault="00BC4564" w:rsidP="008D41BF">
      <w:pPr>
        <w:spacing w:after="200" w:line="240" w:lineRule="auto"/>
        <w:rPr>
          <w:rFonts w:cs="Arial"/>
          <w:b/>
        </w:rPr>
      </w:pPr>
      <w:r w:rsidRPr="00C605D8">
        <w:rPr>
          <w:rFonts w:cs="Arial"/>
          <w:b/>
        </w:rPr>
        <w:t>Z předloženého rozboru vyplývá, že typický</w:t>
      </w:r>
      <w:r w:rsidR="00797574">
        <w:rPr>
          <w:rFonts w:cs="Arial"/>
          <w:b/>
        </w:rPr>
        <w:t>m</w:t>
      </w:r>
      <w:r w:rsidRPr="00C605D8">
        <w:rPr>
          <w:rFonts w:cs="Arial"/>
          <w:b/>
        </w:rPr>
        <w:t xml:space="preserve"> uchazeč</w:t>
      </w:r>
      <w:r w:rsidR="00797574">
        <w:rPr>
          <w:rFonts w:cs="Arial"/>
          <w:b/>
        </w:rPr>
        <w:t>em</w:t>
      </w:r>
      <w:r w:rsidRPr="00C605D8">
        <w:rPr>
          <w:rFonts w:cs="Arial"/>
          <w:b/>
        </w:rPr>
        <w:t xml:space="preserve"> o zaměstnání je osoba ve věku mírně nad 40 let</w:t>
      </w:r>
      <w:r w:rsidR="00797574">
        <w:rPr>
          <w:rFonts w:cs="Arial"/>
          <w:b/>
        </w:rPr>
        <w:t xml:space="preserve">, která má </w:t>
      </w:r>
      <w:r w:rsidRPr="00C605D8">
        <w:rPr>
          <w:rFonts w:cs="Arial"/>
          <w:b/>
        </w:rPr>
        <w:t> nižší vzdělání (základní škola nebo vyučená)</w:t>
      </w:r>
      <w:r w:rsidR="00797574">
        <w:rPr>
          <w:rFonts w:cs="Arial"/>
          <w:b/>
        </w:rPr>
        <w:t>,</w:t>
      </w:r>
      <w:r w:rsidRPr="00C605D8">
        <w:rPr>
          <w:rFonts w:cs="Arial"/>
          <w:b/>
        </w:rPr>
        <w:t xml:space="preserve"> hled</w:t>
      </w:r>
      <w:r w:rsidR="00797574">
        <w:rPr>
          <w:rFonts w:cs="Arial"/>
          <w:b/>
        </w:rPr>
        <w:t>á</w:t>
      </w:r>
      <w:r w:rsidRPr="00C605D8">
        <w:rPr>
          <w:rFonts w:cs="Arial"/>
          <w:b/>
        </w:rPr>
        <w:t xml:space="preserve"> pracovní uplatnění spíše v pomocných profesích </w:t>
      </w:r>
      <w:r w:rsidR="00797574">
        <w:rPr>
          <w:rFonts w:cs="Arial"/>
          <w:b/>
        </w:rPr>
        <w:t xml:space="preserve">a je </w:t>
      </w:r>
      <w:r w:rsidRPr="00C605D8">
        <w:rPr>
          <w:rFonts w:cs="Arial"/>
          <w:b/>
        </w:rPr>
        <w:t>nezaměstnaná téměř rok.</w:t>
      </w:r>
    </w:p>
    <w:p w:rsidR="007805AB" w:rsidRDefault="007805AB" w:rsidP="008D41BF">
      <w:pPr>
        <w:spacing w:after="200" w:line="240" w:lineRule="auto"/>
        <w:rPr>
          <w:rFonts w:cs="Arial"/>
          <w:b/>
        </w:rPr>
      </w:pPr>
      <w:r>
        <w:rPr>
          <w:rFonts w:cs="Arial"/>
          <w:b/>
        </w:rPr>
        <w:t>1.3 Odhad přirozené míry nezaměstnanosti</w:t>
      </w:r>
    </w:p>
    <w:p w:rsidR="007805AB" w:rsidRDefault="007805AB" w:rsidP="007805AB">
      <w:pPr>
        <w:spacing w:after="200" w:line="240" w:lineRule="auto"/>
        <w:rPr>
          <w:rFonts w:cs="Arial"/>
        </w:rPr>
      </w:pPr>
      <w:r>
        <w:rPr>
          <w:rFonts w:cs="Arial"/>
        </w:rPr>
        <w:t xml:space="preserve">Možnosti trhu práce uspokojit poptávku po pracovní síle významně ovlivňuje úroveň tzv. přirozené míry nezaměstnanosti. Ta je definována různými způsoby, zpravidla obsahuje složku frikční a strukturální, obsažena však není složka cyklická, neboť přirozená míra nezaměstnanosti ideálně nastává v ekonomice setrvávající na úrovni potenciálního produktu. Výše přirozené míry nezaměstnanosti se různí jak v čase, tak v různých ekonomikách, neboť je ovlivňována celou řadou faktorů (migrace, úroveň mezd, nastavení sociálního systému, demografie). </w:t>
      </w:r>
      <w:r>
        <w:rPr>
          <w:rFonts w:cs="Arial"/>
          <w:b/>
        </w:rPr>
        <w:t>Přirozená míra nezaměstnanosti nicméně neznamená její nevyhnutelnost či ideální stav.</w:t>
      </w:r>
      <w:r>
        <w:rPr>
          <w:rFonts w:cs="Arial"/>
        </w:rPr>
        <w:t xml:space="preserve"> </w:t>
      </w:r>
      <w:r>
        <w:rPr>
          <w:rFonts w:cs="Arial"/>
        </w:rPr>
        <w:lastRenderedPageBreak/>
        <w:t>Zejména strukturální složku přirozené míry nezaměstnanosti je nutné eliminovat, neboť na rozdíl od nezaměstnanosti frikční odráží disfunkci trhu práce při harmonizaci nabídky a poptávky.</w:t>
      </w:r>
    </w:p>
    <w:p w:rsidR="007805AB" w:rsidRDefault="007805AB" w:rsidP="007805AB">
      <w:pPr>
        <w:spacing w:after="200" w:line="240" w:lineRule="auto"/>
        <w:rPr>
          <w:rFonts w:cs="Arial"/>
        </w:rPr>
      </w:pPr>
      <w:r>
        <w:rPr>
          <w:rFonts w:cs="Arial"/>
        </w:rPr>
        <w:t>Přirozená míra nezaměstnanosti</w:t>
      </w:r>
      <w:r>
        <w:rPr>
          <w:rStyle w:val="Znakapoznpodarou"/>
          <w:rFonts w:cs="Arial"/>
        </w:rPr>
        <w:footnoteReference w:id="2"/>
      </w:r>
      <w:r>
        <w:rPr>
          <w:rFonts w:cs="Arial"/>
        </w:rPr>
        <w:t xml:space="preserve"> se odhaduje kolem 4 % až 6 % v USA. V evropských zemích je přirozená míra nezaměstnanosti uvažována jako vyšší, a to v důsledku nastavení sociálních systémů. Její výš</w:t>
      </w:r>
      <w:r w:rsidR="002F481E">
        <w:rPr>
          <w:rFonts w:cs="Arial"/>
        </w:rPr>
        <w:t>e však není v čase konstantní a </w:t>
      </w:r>
      <w:r>
        <w:rPr>
          <w:rFonts w:cs="Arial"/>
        </w:rPr>
        <w:t>zvyšuje se v důsledku dlouhodobě vysokých hodnot míry nezaměstnanosti – tzv. hystereze, kdy dochází k posilování zejména strukturální složky nezaměstnanosti (úroveň frikční nezaměstnanosti bývává určována na hladině 2 % až 3 %). S ohledem na uvedené skutečnosti, lze přirozenou míru nezaměstnanosti v ČR odhadovat kolem 7 %</w:t>
      </w:r>
      <w:r>
        <w:rPr>
          <w:rStyle w:val="Znakapoznpodarou"/>
          <w:rFonts w:cs="Arial"/>
        </w:rPr>
        <w:footnoteReference w:id="3"/>
      </w:r>
      <w:r>
        <w:rPr>
          <w:rFonts w:cs="Arial"/>
        </w:rPr>
        <w:t xml:space="preserve"> z celkového objemu pracovní síly.  </w:t>
      </w:r>
    </w:p>
    <w:p w:rsidR="007805AB" w:rsidRDefault="007805AB" w:rsidP="007805AB">
      <w:pPr>
        <w:spacing w:after="200" w:line="240" w:lineRule="auto"/>
        <w:rPr>
          <w:rFonts w:cs="Arial"/>
          <w:b/>
        </w:rPr>
      </w:pPr>
      <w:r>
        <w:rPr>
          <w:rFonts w:cs="Arial"/>
        </w:rPr>
        <w:t xml:space="preserve">Ve 4. čtvrtletí 2015 činil objem pracovní síly dle VŠPS v ČR 5 312 tis. osob, objem přirozené nezaměstnanosti tak lze při její výši 7 % odhadnout na 370 tis. osob. </w:t>
      </w:r>
      <w:r>
        <w:rPr>
          <w:rFonts w:cs="Arial"/>
          <w:b/>
        </w:rPr>
        <w:t>Na trhu práce tak bylo reálně disponibilních/uplatnitelných</w:t>
      </w:r>
      <w:r>
        <w:rPr>
          <w:rFonts w:cs="Arial"/>
        </w:rPr>
        <w:t xml:space="preserve"> (nad aktuální míru přirozené nezaměstnanosti) </w:t>
      </w:r>
      <w:r w:rsidRPr="00817E08">
        <w:rPr>
          <w:rFonts w:cs="Arial"/>
          <w:b/>
        </w:rPr>
        <w:t>zhruba</w:t>
      </w:r>
      <w:r>
        <w:rPr>
          <w:rFonts w:cs="Arial"/>
          <w:b/>
        </w:rPr>
        <w:t xml:space="preserve"> 100 až 110 tisíc uchazečů o zaměstnání</w:t>
      </w:r>
      <w:r>
        <w:rPr>
          <w:rFonts w:cs="Arial"/>
        </w:rPr>
        <w:t xml:space="preserve">. Zhruba 3 % objemu pracovní síly lze označit za nezaměstnanost frikční (přirozená fluktuace za lépe placenou prací, demografická výměna, stěhování…), zatímco strukturální složku lze odhadnout na 4 %, tj. cca 200 000 osob, což koreluje s počtem uchazečů o zaměstnání evidovaných déle než 12 měsíců. </w:t>
      </w:r>
      <w:r>
        <w:rPr>
          <w:rFonts w:cs="Arial"/>
          <w:b/>
        </w:rPr>
        <w:t>Český trh práce se tak v současné době pohybuje na hranici přirozené míry nezaměstnanosti, přičemž její významnou část tvoří strukturální složka.</w:t>
      </w:r>
    </w:p>
    <w:p w:rsidR="002F481E" w:rsidRPr="00C605D8" w:rsidRDefault="002F481E" w:rsidP="007805AB">
      <w:pPr>
        <w:spacing w:after="200" w:line="240" w:lineRule="auto"/>
        <w:rPr>
          <w:rFonts w:cs="Arial"/>
          <w:b/>
        </w:rPr>
      </w:pPr>
    </w:p>
    <w:p w:rsidR="00182B6B" w:rsidRPr="00C605D8" w:rsidRDefault="00E1434F" w:rsidP="008D41BF">
      <w:pPr>
        <w:spacing w:after="200" w:line="240" w:lineRule="auto"/>
        <w:rPr>
          <w:rFonts w:cs="Arial"/>
        </w:rPr>
      </w:pPr>
      <w:r w:rsidRPr="00C605D8">
        <w:rPr>
          <w:rFonts w:cs="Arial"/>
          <w:b/>
        </w:rPr>
        <w:t>1.</w:t>
      </w:r>
      <w:r w:rsidR="002F481E">
        <w:rPr>
          <w:rFonts w:cs="Arial"/>
          <w:b/>
        </w:rPr>
        <w:t>4</w:t>
      </w:r>
      <w:r w:rsidR="00182B6B" w:rsidRPr="00C605D8">
        <w:rPr>
          <w:rFonts w:cs="Arial"/>
          <w:b/>
        </w:rPr>
        <w:t xml:space="preserve"> Mezinárodní srovnání</w:t>
      </w:r>
    </w:p>
    <w:p w:rsidR="00EA569E" w:rsidRPr="00C605D8" w:rsidRDefault="0017476D" w:rsidP="008D41BF">
      <w:pPr>
        <w:spacing w:before="120" w:line="240" w:lineRule="auto"/>
        <w:rPr>
          <w:rFonts w:cs="Arial"/>
        </w:rPr>
      </w:pPr>
      <w:r w:rsidRPr="00C605D8">
        <w:rPr>
          <w:rFonts w:cs="Arial"/>
        </w:rPr>
        <w:t xml:space="preserve">Oproti jiným zemím Evropské unie vykazuje Česká republika vyšší zastoupení </w:t>
      </w:r>
      <w:r w:rsidR="00FB49B8" w:rsidRPr="00C605D8">
        <w:rPr>
          <w:rFonts w:cs="Arial"/>
        </w:rPr>
        <w:t>sekundárního sektoru</w:t>
      </w:r>
      <w:r w:rsidRPr="00C605D8">
        <w:rPr>
          <w:rFonts w:cs="Arial"/>
        </w:rPr>
        <w:t xml:space="preserve"> na zaměstnanosti. </w:t>
      </w:r>
      <w:r w:rsidR="00EA569E" w:rsidRPr="00C605D8">
        <w:rPr>
          <w:rFonts w:cs="Arial"/>
        </w:rPr>
        <w:t>Ve 2.</w:t>
      </w:r>
      <w:r w:rsidR="00EA569E" w:rsidRPr="00C605D8">
        <w:rPr>
          <w:rFonts w:cs="Arial"/>
          <w:b/>
        </w:rPr>
        <w:t> </w:t>
      </w:r>
      <w:r w:rsidR="00EA569E" w:rsidRPr="00C605D8">
        <w:rPr>
          <w:rFonts w:cs="Arial"/>
        </w:rPr>
        <w:t>čtvrtletí 2015</w:t>
      </w:r>
      <w:r w:rsidR="00EA569E" w:rsidRPr="00C605D8">
        <w:rPr>
          <w:rFonts w:cs="Arial"/>
          <w:b/>
        </w:rPr>
        <w:t xml:space="preserve"> </w:t>
      </w:r>
      <w:r w:rsidR="00EA569E" w:rsidRPr="00C605D8">
        <w:rPr>
          <w:rFonts w:cs="Arial"/>
        </w:rPr>
        <w:t>dosahovala v </w:t>
      </w:r>
      <w:r w:rsidR="00EA569E" w:rsidRPr="00C605D8">
        <w:rPr>
          <w:rFonts w:cs="Arial"/>
          <w:b/>
        </w:rPr>
        <w:t>ČR</w:t>
      </w:r>
      <w:r w:rsidR="00EA569E" w:rsidRPr="00C605D8">
        <w:rPr>
          <w:rFonts w:cs="Arial"/>
        </w:rPr>
        <w:t xml:space="preserve"> hodnota podílu sekundárního sektoru na zaměstnanosti </w:t>
      </w:r>
      <w:r w:rsidR="00EA569E" w:rsidRPr="00C605D8">
        <w:rPr>
          <w:rFonts w:cs="Arial"/>
          <w:b/>
        </w:rPr>
        <w:t>36,9 %</w:t>
      </w:r>
      <w:r w:rsidR="00EA569E" w:rsidRPr="00C605D8">
        <w:rPr>
          <w:rFonts w:cs="Arial"/>
        </w:rPr>
        <w:t xml:space="preserve">, což je </w:t>
      </w:r>
      <w:r w:rsidR="00EA569E" w:rsidRPr="00C605D8">
        <w:rPr>
          <w:rFonts w:cs="Arial"/>
          <w:b/>
        </w:rPr>
        <w:t>nejvíce v rámci EU 28</w:t>
      </w:r>
      <w:r w:rsidR="00EA569E" w:rsidRPr="00C605D8">
        <w:rPr>
          <w:rFonts w:cs="Arial"/>
        </w:rPr>
        <w:t xml:space="preserve">, před Slovenskem a Estonskem, kde se hodnota tohoto ukazatele pohybovala nad 30,0 %. Průměr EU činil ve stejném období 21,7 %. </w:t>
      </w:r>
      <w:r w:rsidRPr="00C605D8">
        <w:rPr>
          <w:rFonts w:cs="Arial"/>
        </w:rPr>
        <w:t xml:space="preserve">Vysoké zastoupení průmyslové výroby, zejména zpracovatelského průmyslu, je pro Českou republiku </w:t>
      </w:r>
      <w:r w:rsidR="00AA7A14" w:rsidRPr="00C605D8">
        <w:rPr>
          <w:rFonts w:cs="Arial"/>
        </w:rPr>
        <w:t>z</w:t>
      </w:r>
      <w:r w:rsidRPr="00C605D8">
        <w:rPr>
          <w:rFonts w:cs="Arial"/>
        </w:rPr>
        <w:t xml:space="preserve"> dlouhodobého hlediska typické. Tento charakter českého hospodářství se pak na trhu práce projevuje významnou poptávkou jak po kvalifikované pracovní síle v technických oborech, tak rovněž po pomocných výrobních pracovnících. Porovnáme-li situaci vývoje zaměstnanosti a nezaměstnanosti v České republice s ostatními státy EU, kdy Česká republika </w:t>
      </w:r>
      <w:r w:rsidR="008D2452" w:rsidRPr="00C605D8">
        <w:rPr>
          <w:rFonts w:cs="Arial"/>
        </w:rPr>
        <w:t>vykazuje</w:t>
      </w:r>
      <w:r w:rsidRPr="00C605D8">
        <w:rPr>
          <w:rFonts w:cs="Arial"/>
        </w:rPr>
        <w:t xml:space="preserve"> dlouhodobě, a to i </w:t>
      </w:r>
      <w:r w:rsidR="008D2452" w:rsidRPr="00C605D8">
        <w:rPr>
          <w:rFonts w:cs="Arial"/>
        </w:rPr>
        <w:t xml:space="preserve">v </w:t>
      </w:r>
      <w:r w:rsidRPr="00C605D8">
        <w:rPr>
          <w:rFonts w:cs="Arial"/>
        </w:rPr>
        <w:t xml:space="preserve">krizových </w:t>
      </w:r>
      <w:r w:rsidR="008D2452" w:rsidRPr="00C605D8">
        <w:rPr>
          <w:rFonts w:cs="Arial"/>
        </w:rPr>
        <w:t>letech</w:t>
      </w:r>
      <w:r w:rsidRPr="00C605D8">
        <w:rPr>
          <w:rFonts w:cs="Arial"/>
        </w:rPr>
        <w:t>,</w:t>
      </w:r>
      <w:r w:rsidR="008D2452" w:rsidRPr="00C605D8">
        <w:rPr>
          <w:rFonts w:cs="Arial"/>
        </w:rPr>
        <w:t xml:space="preserve"> jednu z nejnižších měr nezaměstnanosti</w:t>
      </w:r>
      <w:r w:rsidR="00BA4913" w:rsidRPr="00C605D8">
        <w:rPr>
          <w:rFonts w:cs="Arial"/>
        </w:rPr>
        <w:t>, ukazuje se, že vysoké zastoupení sekund</w:t>
      </w:r>
      <w:r w:rsidR="00FB49B8" w:rsidRPr="00C605D8">
        <w:rPr>
          <w:rFonts w:cs="Arial"/>
        </w:rPr>
        <w:t>árního sektoru</w:t>
      </w:r>
      <w:r w:rsidR="00BA4913" w:rsidRPr="00C605D8">
        <w:rPr>
          <w:rFonts w:cs="Arial"/>
        </w:rPr>
        <w:t xml:space="preserve"> na zaměstnanosti se pozitivně projevuje ve stabilizaci trhu práce a v jeho schopnosti pružně reagovat na hospodářské oživení, projevující se právě primárně ve zpracovatelském průmyslu.</w:t>
      </w:r>
    </w:p>
    <w:p w:rsidR="00EA569E" w:rsidRPr="00C605D8" w:rsidRDefault="00EA569E" w:rsidP="008D41BF">
      <w:pPr>
        <w:spacing w:before="120" w:line="240" w:lineRule="auto"/>
        <w:rPr>
          <w:rFonts w:cs="Arial"/>
        </w:rPr>
      </w:pPr>
      <w:r w:rsidRPr="00C605D8">
        <w:rPr>
          <w:rFonts w:cs="Arial"/>
          <w:noProof/>
          <w:lang w:eastAsia="cs-CZ"/>
        </w:rPr>
        <w:lastRenderedPageBreak/>
        <w:drawing>
          <wp:inline distT="0" distB="0" distL="0" distR="0">
            <wp:extent cx="2619375" cy="1981200"/>
            <wp:effectExtent l="0" t="0" r="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C605D8">
        <w:rPr>
          <w:rFonts w:cs="Arial"/>
          <w:noProof/>
          <w:lang w:eastAsia="cs-CZ"/>
        </w:rPr>
        <w:drawing>
          <wp:inline distT="0" distB="0" distL="0" distR="0">
            <wp:extent cx="2752725" cy="1990725"/>
            <wp:effectExtent l="0" t="0" r="0" b="0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35E5B" w:rsidRPr="00C605D8" w:rsidRDefault="00135E5B" w:rsidP="008D41BF">
      <w:pPr>
        <w:spacing w:line="240" w:lineRule="auto"/>
        <w:rPr>
          <w:rFonts w:cs="Arial"/>
          <w:i/>
          <w:sz w:val="20"/>
          <w:szCs w:val="20"/>
        </w:rPr>
      </w:pPr>
    </w:p>
    <w:p w:rsidR="00FE3F8B" w:rsidRPr="00C605D8" w:rsidRDefault="00182B6B" w:rsidP="008D41BF">
      <w:pPr>
        <w:spacing w:before="120" w:line="240" w:lineRule="auto"/>
        <w:ind w:firstLine="708"/>
        <w:rPr>
          <w:rFonts w:cs="Arial"/>
          <w:b/>
        </w:rPr>
      </w:pPr>
      <w:r w:rsidRPr="00C605D8">
        <w:rPr>
          <w:rFonts w:cs="Arial"/>
          <w:b/>
        </w:rPr>
        <w:t>1.</w:t>
      </w:r>
      <w:r w:rsidR="00E1434F" w:rsidRPr="00C605D8">
        <w:rPr>
          <w:rFonts w:cs="Arial"/>
          <w:b/>
        </w:rPr>
        <w:t>4</w:t>
      </w:r>
      <w:r w:rsidRPr="00C605D8">
        <w:rPr>
          <w:rFonts w:cs="Arial"/>
          <w:b/>
        </w:rPr>
        <w:t xml:space="preserve"> </w:t>
      </w:r>
      <w:r w:rsidR="009C5C6A" w:rsidRPr="00C605D8">
        <w:rPr>
          <w:rFonts w:cs="Arial"/>
          <w:b/>
        </w:rPr>
        <w:t>Historický vývoj</w:t>
      </w:r>
    </w:p>
    <w:p w:rsidR="009C5C6A" w:rsidRPr="00C605D8" w:rsidRDefault="009C5C6A" w:rsidP="008D41BF">
      <w:pPr>
        <w:spacing w:before="120" w:line="240" w:lineRule="auto"/>
        <w:rPr>
          <w:rFonts w:cs="Arial"/>
        </w:rPr>
      </w:pPr>
      <w:r w:rsidRPr="00C605D8">
        <w:rPr>
          <w:rFonts w:cs="Arial"/>
        </w:rPr>
        <w:t xml:space="preserve">Aktuální situace na trhu práce je výsledkem pozitivního dopadu hospodářského oživení, pozorovatelného v České republice po dlouhých letech recese od 2. pololetí roku 2013, na trh práce. S ohledem na zpoždění reakce trhu práce oproti hospodářskému vývoji, projevuje se pozitivní trend ve zvýšené poptávce po pracovní síle od 1. </w:t>
      </w:r>
      <w:r w:rsidR="00FB3066" w:rsidRPr="00C605D8">
        <w:rPr>
          <w:rFonts w:cs="Arial"/>
        </w:rPr>
        <w:t>čtvrtletí</w:t>
      </w:r>
      <w:r w:rsidRPr="00C605D8">
        <w:rPr>
          <w:rFonts w:cs="Arial"/>
        </w:rPr>
        <w:t xml:space="preserve"> roku 2014. Zvýšená poptávka byla patrná i v zimních měsících 2014/2015, které s ohledem na dopad sezónních prací bývají charakteristické naopak jejím snížením.</w:t>
      </w:r>
    </w:p>
    <w:p w:rsidR="009C5C6A" w:rsidRDefault="009C5C6A" w:rsidP="008D41BF">
      <w:pPr>
        <w:spacing w:before="120" w:line="240" w:lineRule="auto"/>
        <w:rPr>
          <w:rFonts w:cs="Arial"/>
        </w:rPr>
      </w:pPr>
      <w:r w:rsidRPr="00C605D8">
        <w:rPr>
          <w:rFonts w:cs="Arial"/>
        </w:rPr>
        <w:t>Z časové řady vývoje nabídky a poptávky na trhu práce (viz</w:t>
      </w:r>
      <w:r w:rsidR="008D32A2" w:rsidRPr="00C605D8">
        <w:rPr>
          <w:rFonts w:cs="Arial"/>
        </w:rPr>
        <w:t xml:space="preserve"> tabulka a</w:t>
      </w:r>
      <w:r w:rsidRPr="00C605D8">
        <w:rPr>
          <w:rFonts w:cs="Arial"/>
        </w:rPr>
        <w:t xml:space="preserve"> graf níže) vyplývá, že rok 2015 se ve svém vývoji velice podobá situaci roku 2006, kdy došlo rovněž k výraznému oživení trhu práce po období recese přelomu tisíciletí vyvolané restrukturalizací národního hospodářství.</w:t>
      </w:r>
    </w:p>
    <w:p w:rsidR="00BC30E5" w:rsidRDefault="00BC30E5" w:rsidP="008D41BF">
      <w:pPr>
        <w:spacing w:before="120" w:line="240" w:lineRule="auto"/>
        <w:rPr>
          <w:rFonts w:cs="Arial"/>
        </w:rPr>
      </w:pPr>
    </w:p>
    <w:p w:rsidR="00135E5B" w:rsidRPr="00135E5B" w:rsidRDefault="00135E5B" w:rsidP="00135E5B">
      <w:pPr>
        <w:spacing w:before="120" w:line="240" w:lineRule="auto"/>
        <w:rPr>
          <w:rFonts w:cs="Arial"/>
          <w:b/>
          <w:bCs/>
        </w:rPr>
      </w:pPr>
      <w:r w:rsidRPr="00135E5B">
        <w:rPr>
          <w:rFonts w:cs="Arial"/>
          <w:b/>
          <w:bCs/>
        </w:rPr>
        <w:t>Průměrné počty uchazečů o zaměstnání a volných pracovních míst (v tis.)</w:t>
      </w:r>
    </w:p>
    <w:tbl>
      <w:tblPr>
        <w:tblW w:w="8340" w:type="dxa"/>
        <w:jc w:val="center"/>
        <w:tblInd w:w="-849" w:type="dxa"/>
        <w:tblCellMar>
          <w:left w:w="70" w:type="dxa"/>
          <w:right w:w="70" w:type="dxa"/>
        </w:tblCellMar>
        <w:tblLook w:val="04A0"/>
      </w:tblPr>
      <w:tblGrid>
        <w:gridCol w:w="1388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135E5B" w:rsidRPr="00135E5B" w:rsidTr="000724B4">
        <w:trPr>
          <w:trHeight w:val="630"/>
          <w:jc w:val="center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135E5B">
              <w:rPr>
                <w:rFonts w:cs="Arial"/>
                <w:b/>
                <w:bCs/>
              </w:rPr>
              <w:t>2006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135E5B">
              <w:rPr>
                <w:rFonts w:cs="Arial"/>
                <w:b/>
                <w:bCs/>
              </w:rPr>
              <w:t>2007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135E5B">
              <w:rPr>
                <w:rFonts w:cs="Arial"/>
                <w:b/>
                <w:bCs/>
              </w:rPr>
              <w:t>2008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135E5B">
              <w:rPr>
                <w:rFonts w:cs="Arial"/>
                <w:b/>
                <w:bCs/>
              </w:rPr>
              <w:t>2009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135E5B">
              <w:rPr>
                <w:rFonts w:cs="Arial"/>
                <w:b/>
                <w:bCs/>
              </w:rPr>
              <w:t>2010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135E5B">
              <w:rPr>
                <w:rFonts w:cs="Arial"/>
                <w:b/>
                <w:bCs/>
              </w:rPr>
              <w:t>2011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135E5B">
              <w:rPr>
                <w:rFonts w:cs="Arial"/>
                <w:b/>
                <w:bCs/>
              </w:rPr>
              <w:t>2012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135E5B">
              <w:rPr>
                <w:rFonts w:cs="Arial"/>
                <w:b/>
                <w:bCs/>
              </w:rPr>
              <w:t>2013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135E5B">
              <w:rPr>
                <w:rFonts w:cs="Arial"/>
                <w:b/>
                <w:bCs/>
              </w:rPr>
              <w:t>2014</w:t>
            </w:r>
          </w:p>
        </w:tc>
        <w:tc>
          <w:tcPr>
            <w:tcW w:w="64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  <w:b/>
                <w:bCs/>
              </w:rPr>
            </w:pPr>
            <w:r w:rsidRPr="00135E5B">
              <w:rPr>
                <w:rFonts w:cs="Arial"/>
                <w:b/>
                <w:bCs/>
              </w:rPr>
              <w:t>2015</w:t>
            </w:r>
          </w:p>
        </w:tc>
      </w:tr>
      <w:tr w:rsidR="00135E5B" w:rsidRPr="00135E5B" w:rsidTr="000724B4">
        <w:trPr>
          <w:trHeight w:val="585"/>
          <w:jc w:val="center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35E5B" w:rsidRPr="00135E5B" w:rsidRDefault="00BC30E5" w:rsidP="00135E5B">
            <w:pPr>
              <w:spacing w:before="120" w:line="240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UoZ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474,8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392,8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324,6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465,6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528,8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507,8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504,4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564,4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561,4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478,9</w:t>
            </w:r>
          </w:p>
        </w:tc>
      </w:tr>
      <w:tr w:rsidR="00135E5B" w:rsidRPr="00135E5B" w:rsidTr="000724B4">
        <w:trPr>
          <w:trHeight w:val="480"/>
          <w:jc w:val="center"/>
        </w:trPr>
        <w:tc>
          <w:tcPr>
            <w:tcW w:w="13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  <w:b/>
              </w:rPr>
            </w:pPr>
            <w:r w:rsidRPr="00135E5B">
              <w:rPr>
                <w:rFonts w:cs="Arial"/>
                <w:b/>
              </w:rPr>
              <w:t>VPM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122,0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36,5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39,0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48,7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35E5B" w:rsidRPr="00135E5B" w:rsidRDefault="00135E5B" w:rsidP="00135E5B">
            <w:pPr>
              <w:spacing w:before="120" w:line="240" w:lineRule="auto"/>
              <w:rPr>
                <w:rFonts w:cs="Arial"/>
              </w:rPr>
            </w:pPr>
            <w:r w:rsidRPr="00135E5B">
              <w:rPr>
                <w:rFonts w:cs="Arial"/>
              </w:rPr>
              <w:t>90,3</w:t>
            </w:r>
          </w:p>
        </w:tc>
      </w:tr>
    </w:tbl>
    <w:p w:rsidR="00BC30E5" w:rsidRDefault="00BC30E5" w:rsidP="008D41BF">
      <w:pPr>
        <w:spacing w:before="120" w:line="240" w:lineRule="auto"/>
        <w:rPr>
          <w:rFonts w:cs="Arial"/>
        </w:rPr>
      </w:pPr>
    </w:p>
    <w:p w:rsidR="00135E5B" w:rsidRDefault="00135E5B" w:rsidP="008D41BF">
      <w:pPr>
        <w:spacing w:before="120" w:line="240" w:lineRule="auto"/>
        <w:rPr>
          <w:rFonts w:cs="Arial"/>
        </w:rPr>
      </w:pPr>
      <w:r w:rsidRPr="00135E5B">
        <w:rPr>
          <w:rFonts w:cs="Arial"/>
        </w:rPr>
        <w:t>Z porovnání let 2006 a 2015, kter</w:t>
      </w:r>
      <w:r w:rsidR="001A4A7D">
        <w:rPr>
          <w:rFonts w:cs="Arial"/>
        </w:rPr>
        <w:t>á</w:t>
      </w:r>
      <w:r w:rsidRPr="00135E5B">
        <w:rPr>
          <w:rFonts w:cs="Arial"/>
        </w:rPr>
        <w:t xml:space="preserve"> měl</w:t>
      </w:r>
      <w:r w:rsidR="001A4A7D">
        <w:rPr>
          <w:rFonts w:cs="Arial"/>
        </w:rPr>
        <w:t>a</w:t>
      </w:r>
      <w:r w:rsidRPr="00135E5B">
        <w:rPr>
          <w:rFonts w:cs="Arial"/>
        </w:rPr>
        <w:t xml:space="preserve"> statisticky zhruba obdobnou výchozí základnu, je však zřejmé, že dynamika vývoje nabídky a poptávky je v současném období vyšší, což vyvolává zvýšené nároky na zprostředkovatelskou činnost na trhu práce a ztěžuje rychlou harmonizaci mezi nabídkou a poptávkou. Počátkem roku 2006 bylo hlášeno 59 359 volných pracovních míst a evidováno 531 23</w:t>
      </w:r>
      <w:r w:rsidR="001A4A7D">
        <w:rPr>
          <w:rFonts w:cs="Arial"/>
        </w:rPr>
        <w:t>5 uchazečů o </w:t>
      </w:r>
      <w:r w:rsidRPr="00135E5B">
        <w:rPr>
          <w:rFonts w:cs="Arial"/>
        </w:rPr>
        <w:t>zaměstnání, ke konci prosince 2006 bylo hlášeno 93 425 volných pracovních míst a evidováno 448 545 uchazečů o zaměstnání. Počátkem roku 2015 bylo hlášeno celkem 62 257 volných pracovních míst</w:t>
      </w:r>
      <w:r w:rsidR="001A4A7D">
        <w:rPr>
          <w:rFonts w:cs="Arial"/>
        </w:rPr>
        <w:t xml:space="preserve"> a evidováno 556 191 uchazečů o </w:t>
      </w:r>
      <w:r w:rsidRPr="00135E5B">
        <w:rPr>
          <w:rFonts w:cs="Arial"/>
        </w:rPr>
        <w:t>zaměstnání, ke konci prosince 2015 bylo hlášeno 102 545 volných pracovních míst při evidování 453 118 uchazečů o zaměstnání. Zatímco za rok 2006 poklesl počet uchazečů o zaměstnání o 61 871 osob při současném nárůstu pracovních míst o 41 261, za rok 2015 poklesl počet evidovaných uchaze</w:t>
      </w:r>
      <w:r w:rsidR="001A4A7D">
        <w:rPr>
          <w:rFonts w:cs="Arial"/>
        </w:rPr>
        <w:t>čů o zaměstnání o 88 796 osob a </w:t>
      </w:r>
      <w:r w:rsidRPr="00135E5B">
        <w:rPr>
          <w:rFonts w:cs="Arial"/>
        </w:rPr>
        <w:t>počet pracovních míst vzrostl o 43</w:t>
      </w:r>
      <w:r w:rsidR="00BC30E5">
        <w:rPr>
          <w:rFonts w:cs="Arial"/>
        </w:rPr>
        <w:t> </w:t>
      </w:r>
      <w:r w:rsidRPr="00135E5B">
        <w:rPr>
          <w:rFonts w:cs="Arial"/>
        </w:rPr>
        <w:t>806.</w:t>
      </w:r>
    </w:p>
    <w:p w:rsidR="00BC30E5" w:rsidRPr="00C605D8" w:rsidRDefault="00BC30E5" w:rsidP="008D41BF">
      <w:pPr>
        <w:spacing w:before="120" w:line="240" w:lineRule="auto"/>
        <w:rPr>
          <w:rFonts w:cs="Arial"/>
        </w:rPr>
      </w:pPr>
    </w:p>
    <w:p w:rsidR="00BC0ED9" w:rsidRPr="00C605D8" w:rsidRDefault="009F3875" w:rsidP="008D41BF">
      <w:pPr>
        <w:spacing w:before="120" w:line="240" w:lineRule="auto"/>
        <w:jc w:val="center"/>
        <w:rPr>
          <w:rFonts w:cs="Arial"/>
        </w:rPr>
      </w:pPr>
      <w:r w:rsidRPr="00C605D8">
        <w:rPr>
          <w:rFonts w:cs="Arial"/>
          <w:noProof/>
          <w:lang w:eastAsia="cs-CZ"/>
        </w:rPr>
        <w:drawing>
          <wp:inline distT="0" distB="0" distL="0" distR="0">
            <wp:extent cx="4572000" cy="2314575"/>
            <wp:effectExtent l="0" t="0" r="1905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0ED9" w:rsidRPr="00C605D8" w:rsidRDefault="008D32A2" w:rsidP="008D41BF">
      <w:pPr>
        <w:spacing w:before="120" w:line="240" w:lineRule="auto"/>
        <w:rPr>
          <w:rFonts w:cs="Arial"/>
        </w:rPr>
      </w:pPr>
      <w:r w:rsidRPr="00C605D8">
        <w:rPr>
          <w:rFonts w:cs="Arial"/>
        </w:rPr>
        <w:t>Pro komparaci se strukturou uchazečů o zaměstnání mezi lety 2006 a 2015</w:t>
      </w:r>
      <w:r w:rsidR="00BC0ED9" w:rsidRPr="00C605D8">
        <w:rPr>
          <w:rFonts w:cs="Arial"/>
        </w:rPr>
        <w:t xml:space="preserve"> níže uvádíme strukturu volných pracovních míst a uchazečů o zaměstnání v roce 2006.</w:t>
      </w:r>
    </w:p>
    <w:p w:rsidR="00BC30E5" w:rsidRDefault="00BC30E5" w:rsidP="008D41BF">
      <w:pPr>
        <w:spacing w:before="120" w:line="240" w:lineRule="auto"/>
        <w:jc w:val="center"/>
        <w:rPr>
          <w:rFonts w:eastAsia="Times New Roman" w:cs="Arial"/>
          <w:b/>
          <w:bCs/>
          <w:sz w:val="22"/>
          <w:lang w:eastAsia="cs-CZ"/>
        </w:rPr>
      </w:pPr>
    </w:p>
    <w:p w:rsidR="00BC0ED9" w:rsidRPr="00C605D8" w:rsidRDefault="005849C9" w:rsidP="008D41BF">
      <w:pPr>
        <w:spacing w:before="120" w:line="240" w:lineRule="auto"/>
        <w:jc w:val="center"/>
        <w:rPr>
          <w:rFonts w:eastAsia="Times New Roman" w:cs="Arial"/>
          <w:b/>
          <w:bCs/>
          <w:sz w:val="22"/>
          <w:lang w:eastAsia="cs-CZ"/>
        </w:rPr>
      </w:pPr>
      <w:r w:rsidRPr="00C605D8">
        <w:rPr>
          <w:rFonts w:eastAsia="Times New Roman" w:cs="Arial"/>
          <w:b/>
          <w:bCs/>
          <w:sz w:val="22"/>
          <w:lang w:eastAsia="cs-CZ"/>
        </w:rPr>
        <w:t>Nejvíce poptávané profese k 31. 12. 2006</w:t>
      </w:r>
    </w:p>
    <w:p w:rsidR="005849C9" w:rsidRPr="00C605D8" w:rsidRDefault="005849C9" w:rsidP="008D41BF">
      <w:pPr>
        <w:spacing w:line="240" w:lineRule="auto"/>
        <w:jc w:val="center"/>
        <w:rPr>
          <w:rFonts w:cs="Arial"/>
          <w:sz w:val="16"/>
          <w:szCs w:val="16"/>
        </w:rPr>
      </w:pPr>
    </w:p>
    <w:tbl>
      <w:tblPr>
        <w:tblW w:w="7543" w:type="dxa"/>
        <w:jc w:val="center"/>
        <w:tblCellMar>
          <w:left w:w="70" w:type="dxa"/>
          <w:right w:w="70" w:type="dxa"/>
        </w:tblCellMar>
        <w:tblLook w:val="04A0"/>
      </w:tblPr>
      <w:tblGrid>
        <w:gridCol w:w="699"/>
        <w:gridCol w:w="4269"/>
        <w:gridCol w:w="1233"/>
        <w:gridCol w:w="1342"/>
      </w:tblGrid>
      <w:tr w:rsidR="00135E5B" w:rsidRPr="00C605D8" w:rsidTr="00135E5B">
        <w:trPr>
          <w:trHeight w:val="43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ED9" w:rsidRPr="00C605D8" w:rsidRDefault="00BC0ED9" w:rsidP="008D41BF">
            <w:pPr>
              <w:spacing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KZAM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D9" w:rsidRPr="00C605D8" w:rsidRDefault="00BC0ED9" w:rsidP="008D41B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KZAM - POPIS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ED9" w:rsidRPr="00C605D8" w:rsidRDefault="00BC0ED9" w:rsidP="008D41B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Počet VPM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9" w:rsidRPr="00C605D8" w:rsidRDefault="00BC0ED9" w:rsidP="008D41B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neobsazená více než</w:t>
            </w:r>
          </w:p>
          <w:p w:rsidR="00BC0ED9" w:rsidRPr="00C605D8" w:rsidRDefault="00BC0ED9" w:rsidP="008D41B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 xml:space="preserve">3 </w:t>
            </w:r>
            <w:proofErr w:type="spellStart"/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měs</w:t>
            </w:r>
            <w:proofErr w:type="spellEnd"/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. v %</w:t>
            </w:r>
          </w:p>
        </w:tc>
      </w:tr>
      <w:tr w:rsidR="00135E5B" w:rsidRPr="00C605D8" w:rsidTr="00135E5B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712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Stavební dělníci hlavní stavební výroby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6 935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i/>
                <w:sz w:val="18"/>
                <w:szCs w:val="18"/>
              </w:rPr>
            </w:pPr>
            <w:r w:rsidRPr="00C605D8">
              <w:rPr>
                <w:rFonts w:cs="Arial"/>
                <w:i/>
                <w:sz w:val="18"/>
                <w:szCs w:val="18"/>
              </w:rPr>
              <w:t>14,5</w:t>
            </w:r>
          </w:p>
        </w:tc>
      </w:tr>
      <w:tr w:rsidR="00135E5B" w:rsidRPr="00C605D8" w:rsidTr="00135E5B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722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 xml:space="preserve">Kováři, nástrojaři, zámečníci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6 658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i/>
                <w:sz w:val="18"/>
                <w:szCs w:val="18"/>
              </w:rPr>
            </w:pPr>
            <w:r w:rsidRPr="00C605D8">
              <w:rPr>
                <w:rFonts w:cs="Arial"/>
                <w:i/>
                <w:sz w:val="18"/>
                <w:szCs w:val="18"/>
              </w:rPr>
              <w:t>13,9</w:t>
            </w:r>
          </w:p>
        </w:tc>
      </w:tr>
      <w:tr w:rsidR="00135E5B" w:rsidRPr="00C605D8" w:rsidTr="00135E5B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721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 xml:space="preserve">Formíři, svářeči, výrobci a opraváři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4 977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i/>
                <w:sz w:val="18"/>
                <w:szCs w:val="18"/>
              </w:rPr>
            </w:pPr>
            <w:r w:rsidRPr="00C605D8">
              <w:rPr>
                <w:rFonts w:cs="Arial"/>
                <w:i/>
                <w:sz w:val="18"/>
                <w:szCs w:val="18"/>
              </w:rPr>
              <w:t>22,0</w:t>
            </w:r>
          </w:p>
        </w:tc>
      </w:tr>
      <w:tr w:rsidR="00135E5B" w:rsidRPr="00C605D8" w:rsidTr="00135E5B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832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Řidiči motorových vozidel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4 942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i/>
                <w:sz w:val="18"/>
                <w:szCs w:val="18"/>
              </w:rPr>
            </w:pPr>
            <w:r w:rsidRPr="00C605D8">
              <w:rPr>
                <w:rFonts w:cs="Arial"/>
                <w:i/>
                <w:sz w:val="18"/>
                <w:szCs w:val="18"/>
              </w:rPr>
              <w:t>16,7</w:t>
            </w:r>
          </w:p>
        </w:tc>
      </w:tr>
      <w:tr w:rsidR="00135E5B" w:rsidRPr="00C605D8" w:rsidTr="00135E5B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931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 xml:space="preserve">Pomocní a </w:t>
            </w:r>
            <w:proofErr w:type="spellStart"/>
            <w:r w:rsidRPr="00C605D8">
              <w:rPr>
                <w:rFonts w:cs="Arial"/>
                <w:sz w:val="18"/>
                <w:szCs w:val="18"/>
              </w:rPr>
              <w:t>nekvalif</w:t>
            </w:r>
            <w:proofErr w:type="spellEnd"/>
            <w:r w:rsidRPr="00C605D8">
              <w:rPr>
                <w:rFonts w:cs="Arial"/>
                <w:sz w:val="18"/>
                <w:szCs w:val="18"/>
              </w:rPr>
              <w:t>. dělníci v dolech, lomech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4 369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i/>
                <w:sz w:val="18"/>
                <w:szCs w:val="18"/>
              </w:rPr>
            </w:pPr>
            <w:r w:rsidRPr="00C605D8">
              <w:rPr>
                <w:rFonts w:cs="Arial"/>
                <w:i/>
                <w:sz w:val="18"/>
                <w:szCs w:val="18"/>
              </w:rPr>
              <w:t>9,5</w:t>
            </w:r>
          </w:p>
        </w:tc>
      </w:tr>
      <w:tr w:rsidR="00135E5B" w:rsidRPr="00C605D8" w:rsidTr="00135E5B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828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 xml:space="preserve">Montážní dělníci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4 202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i/>
                <w:sz w:val="18"/>
                <w:szCs w:val="18"/>
              </w:rPr>
            </w:pPr>
            <w:r w:rsidRPr="00C605D8">
              <w:rPr>
                <w:rFonts w:cs="Arial"/>
                <w:i/>
                <w:sz w:val="18"/>
                <w:szCs w:val="18"/>
              </w:rPr>
              <w:t>37,2</w:t>
            </w:r>
          </w:p>
        </w:tc>
      </w:tr>
      <w:tr w:rsidR="00135E5B" w:rsidRPr="00C605D8" w:rsidTr="00135E5B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932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Pomocní a nekvalifikovaní dělníci v průmyslu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3 699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i/>
                <w:sz w:val="18"/>
                <w:szCs w:val="18"/>
              </w:rPr>
            </w:pPr>
            <w:r w:rsidRPr="00C605D8">
              <w:rPr>
                <w:rFonts w:cs="Arial"/>
                <w:i/>
                <w:sz w:val="18"/>
                <w:szCs w:val="18"/>
              </w:rPr>
              <w:t>30,9</w:t>
            </w:r>
          </w:p>
        </w:tc>
      </w:tr>
      <w:tr w:rsidR="00135E5B" w:rsidRPr="00C605D8" w:rsidTr="00135E5B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311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Technici ve fyzikálních, technických oborech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3 433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i/>
                <w:sz w:val="18"/>
                <w:szCs w:val="18"/>
              </w:rPr>
            </w:pPr>
            <w:r w:rsidRPr="00C605D8">
              <w:rPr>
                <w:rFonts w:cs="Arial"/>
                <w:i/>
                <w:sz w:val="18"/>
                <w:szCs w:val="18"/>
              </w:rPr>
              <w:t>12,9</w:t>
            </w:r>
          </w:p>
        </w:tc>
      </w:tr>
      <w:tr w:rsidR="00135E5B" w:rsidRPr="00C605D8" w:rsidTr="00135E5B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512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 xml:space="preserve">Provozní pracovníci stravování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3 089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i/>
                <w:sz w:val="18"/>
                <w:szCs w:val="18"/>
              </w:rPr>
            </w:pPr>
            <w:r w:rsidRPr="00C605D8">
              <w:rPr>
                <w:rFonts w:cs="Arial"/>
                <w:i/>
                <w:sz w:val="18"/>
                <w:szCs w:val="18"/>
              </w:rPr>
              <w:t>17,1</w:t>
            </w:r>
          </w:p>
        </w:tc>
      </w:tr>
      <w:tr w:rsidR="00135E5B" w:rsidRPr="00C605D8" w:rsidTr="00135E5B">
        <w:trPr>
          <w:trHeight w:val="288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521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Prodavači v obchodech a předváděči zboží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2 692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i/>
                <w:sz w:val="18"/>
                <w:szCs w:val="18"/>
              </w:rPr>
            </w:pPr>
            <w:r w:rsidRPr="00C605D8">
              <w:rPr>
                <w:rFonts w:cs="Arial"/>
                <w:i/>
                <w:sz w:val="18"/>
                <w:szCs w:val="18"/>
              </w:rPr>
              <w:t>17,9</w:t>
            </w:r>
          </w:p>
        </w:tc>
      </w:tr>
    </w:tbl>
    <w:p w:rsidR="002A7166" w:rsidRDefault="002A7166" w:rsidP="008D41BF">
      <w:pPr>
        <w:spacing w:before="120" w:line="240" w:lineRule="auto"/>
        <w:jc w:val="center"/>
        <w:rPr>
          <w:rFonts w:eastAsia="Times New Roman" w:cs="Arial"/>
          <w:b/>
          <w:bCs/>
          <w:sz w:val="22"/>
          <w:lang w:eastAsia="cs-CZ"/>
        </w:rPr>
      </w:pPr>
    </w:p>
    <w:p w:rsidR="00BC0ED9" w:rsidRPr="00C605D8" w:rsidRDefault="005849C9" w:rsidP="008D41BF">
      <w:pPr>
        <w:spacing w:before="120" w:line="240" w:lineRule="auto"/>
        <w:jc w:val="center"/>
        <w:rPr>
          <w:rFonts w:eastAsia="Times New Roman" w:cs="Arial"/>
          <w:b/>
          <w:bCs/>
          <w:sz w:val="22"/>
          <w:lang w:eastAsia="cs-CZ"/>
        </w:rPr>
      </w:pPr>
      <w:r w:rsidRPr="00C605D8">
        <w:rPr>
          <w:rFonts w:eastAsia="Times New Roman" w:cs="Arial"/>
          <w:b/>
          <w:bCs/>
          <w:sz w:val="22"/>
          <w:lang w:eastAsia="cs-CZ"/>
        </w:rPr>
        <w:t>Uchazeči o zaměstnání podle nejpočetnějších profesí k 31. 12. 2006</w:t>
      </w:r>
    </w:p>
    <w:p w:rsidR="005849C9" w:rsidRPr="00C605D8" w:rsidRDefault="005849C9" w:rsidP="008D41BF">
      <w:pPr>
        <w:spacing w:line="240" w:lineRule="auto"/>
        <w:rPr>
          <w:rFonts w:cs="Arial"/>
          <w:sz w:val="16"/>
          <w:szCs w:val="16"/>
        </w:rPr>
      </w:pPr>
    </w:p>
    <w:tbl>
      <w:tblPr>
        <w:tblW w:w="805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6124"/>
        <w:gridCol w:w="1235"/>
      </w:tblGrid>
      <w:tr w:rsidR="00DD488D" w:rsidRPr="00C605D8" w:rsidTr="005849C9">
        <w:trPr>
          <w:trHeight w:val="3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KZAM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KZAM - POPIS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C9" w:rsidRPr="00C605D8" w:rsidRDefault="005849C9" w:rsidP="008D41BF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 xml:space="preserve">Počet </w:t>
            </w:r>
            <w:proofErr w:type="spellStart"/>
            <w:r w:rsidRPr="00C605D8"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  <w:t>UoZ</w:t>
            </w:r>
            <w:proofErr w:type="spellEnd"/>
          </w:p>
        </w:tc>
      </w:tr>
      <w:tr w:rsidR="00DD488D" w:rsidRPr="00C605D8" w:rsidTr="00FD0406">
        <w:trPr>
          <w:trHeight w:val="3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932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Pomocní a nekvalifikovaní dělníci v průmyslu /ve výrobě/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37</w:t>
            </w:r>
            <w:r w:rsidR="00DD488D" w:rsidRPr="00C605D8">
              <w:rPr>
                <w:rFonts w:cs="Arial"/>
                <w:sz w:val="18"/>
                <w:szCs w:val="18"/>
              </w:rPr>
              <w:t xml:space="preserve"> </w:t>
            </w:r>
            <w:r w:rsidRPr="00C605D8">
              <w:rPr>
                <w:rFonts w:cs="Arial"/>
                <w:sz w:val="18"/>
                <w:szCs w:val="18"/>
              </w:rPr>
              <w:t>038</w:t>
            </w:r>
          </w:p>
        </w:tc>
      </w:tr>
      <w:tr w:rsidR="00DD488D" w:rsidRPr="00C605D8" w:rsidTr="00FD0406">
        <w:trPr>
          <w:trHeight w:val="3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521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Prodavači v obchodech a předváděči zboží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33</w:t>
            </w:r>
            <w:r w:rsidR="00DD488D" w:rsidRPr="00C605D8">
              <w:rPr>
                <w:rFonts w:cs="Arial"/>
                <w:sz w:val="18"/>
                <w:szCs w:val="18"/>
              </w:rPr>
              <w:t xml:space="preserve"> </w:t>
            </w:r>
            <w:r w:rsidRPr="00C605D8">
              <w:rPr>
                <w:rFonts w:cs="Arial"/>
                <w:sz w:val="18"/>
                <w:szCs w:val="18"/>
              </w:rPr>
              <w:t>029</w:t>
            </w:r>
          </w:p>
        </w:tc>
      </w:tr>
      <w:tr w:rsidR="00DD488D" w:rsidRPr="00C605D8" w:rsidTr="00FD0406">
        <w:trPr>
          <w:trHeight w:val="3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512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Provozní pracovníci stravování a pracovníci v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24</w:t>
            </w:r>
            <w:r w:rsidR="00DD488D" w:rsidRPr="00C605D8">
              <w:rPr>
                <w:rFonts w:cs="Arial"/>
                <w:sz w:val="18"/>
                <w:szCs w:val="18"/>
              </w:rPr>
              <w:t xml:space="preserve"> </w:t>
            </w:r>
            <w:r w:rsidRPr="00C605D8">
              <w:rPr>
                <w:rFonts w:cs="Arial"/>
                <w:sz w:val="18"/>
                <w:szCs w:val="18"/>
              </w:rPr>
              <w:t>939</w:t>
            </w:r>
          </w:p>
        </w:tc>
      </w:tr>
      <w:tr w:rsidR="00DD488D" w:rsidRPr="00C605D8" w:rsidTr="00FD0406">
        <w:trPr>
          <w:trHeight w:val="3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913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Pomocníci, uklízeči a pradláci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22</w:t>
            </w:r>
            <w:r w:rsidR="00DD488D" w:rsidRPr="00C605D8">
              <w:rPr>
                <w:rFonts w:cs="Arial"/>
                <w:sz w:val="18"/>
                <w:szCs w:val="18"/>
              </w:rPr>
              <w:t xml:space="preserve"> </w:t>
            </w:r>
            <w:r w:rsidRPr="00C605D8">
              <w:rPr>
                <w:rFonts w:cs="Arial"/>
                <w:sz w:val="18"/>
                <w:szCs w:val="18"/>
              </w:rPr>
              <w:t>794</w:t>
            </w:r>
          </w:p>
        </w:tc>
      </w:tr>
      <w:tr w:rsidR="00DD488D" w:rsidRPr="00C605D8" w:rsidTr="00FD0406">
        <w:trPr>
          <w:trHeight w:val="3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411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Kancelářští a manipulační pracovníci, sekretářky, písařky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18</w:t>
            </w:r>
            <w:r w:rsidR="00DD488D" w:rsidRPr="00C605D8">
              <w:rPr>
                <w:rFonts w:cs="Arial"/>
                <w:sz w:val="18"/>
                <w:szCs w:val="18"/>
              </w:rPr>
              <w:t xml:space="preserve"> </w:t>
            </w:r>
            <w:r w:rsidRPr="00C605D8">
              <w:rPr>
                <w:rFonts w:cs="Arial"/>
                <w:sz w:val="18"/>
                <w:szCs w:val="18"/>
              </w:rPr>
              <w:t>677</w:t>
            </w:r>
          </w:p>
        </w:tc>
      </w:tr>
      <w:tr w:rsidR="00DD488D" w:rsidRPr="00C605D8" w:rsidTr="00FD0406">
        <w:trPr>
          <w:trHeight w:val="3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712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Stavební dělníci hlavní stavební výroby a pracovníci v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16</w:t>
            </w:r>
            <w:r w:rsidR="00DD488D" w:rsidRPr="00C605D8">
              <w:rPr>
                <w:rFonts w:cs="Arial"/>
                <w:sz w:val="18"/>
                <w:szCs w:val="18"/>
              </w:rPr>
              <w:t xml:space="preserve"> </w:t>
            </w:r>
            <w:r w:rsidRPr="00C605D8">
              <w:rPr>
                <w:rFonts w:cs="Arial"/>
                <w:sz w:val="18"/>
                <w:szCs w:val="18"/>
              </w:rPr>
              <w:t>723</w:t>
            </w:r>
          </w:p>
        </w:tc>
      </w:tr>
      <w:tr w:rsidR="00DD488D" w:rsidRPr="00C605D8" w:rsidTr="00FD0406">
        <w:trPr>
          <w:trHeight w:val="39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832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Řidiči motorových vozidel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14</w:t>
            </w:r>
            <w:r w:rsidR="00DD488D" w:rsidRPr="00C605D8">
              <w:rPr>
                <w:rFonts w:cs="Arial"/>
                <w:sz w:val="18"/>
                <w:szCs w:val="18"/>
              </w:rPr>
              <w:t xml:space="preserve"> </w:t>
            </w:r>
            <w:r w:rsidRPr="00C605D8">
              <w:rPr>
                <w:rFonts w:cs="Arial"/>
                <w:sz w:val="18"/>
                <w:szCs w:val="18"/>
              </w:rPr>
              <w:t>741</w:t>
            </w:r>
          </w:p>
        </w:tc>
      </w:tr>
      <w:tr w:rsidR="00DD488D" w:rsidRPr="00C605D8" w:rsidTr="00FD0406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915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Vrátní, nosiči, poslové a pracovníci v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12</w:t>
            </w:r>
            <w:r w:rsidR="00DD488D" w:rsidRPr="00C605D8">
              <w:rPr>
                <w:rFonts w:cs="Arial"/>
                <w:sz w:val="18"/>
                <w:szCs w:val="18"/>
              </w:rPr>
              <w:t xml:space="preserve"> </w:t>
            </w:r>
            <w:r w:rsidRPr="00C605D8">
              <w:rPr>
                <w:rFonts w:cs="Arial"/>
                <w:sz w:val="18"/>
                <w:szCs w:val="18"/>
              </w:rPr>
              <w:t>075</w:t>
            </w:r>
          </w:p>
        </w:tc>
      </w:tr>
      <w:tr w:rsidR="00DD488D" w:rsidRPr="00C605D8" w:rsidTr="00FD0406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343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Odborní admi</w:t>
            </w:r>
            <w:r w:rsidR="00DD488D" w:rsidRPr="00C605D8">
              <w:rPr>
                <w:rFonts w:cs="Arial"/>
                <w:sz w:val="18"/>
                <w:szCs w:val="18"/>
              </w:rPr>
              <w:t>ni</w:t>
            </w:r>
            <w:r w:rsidRPr="00C605D8">
              <w:rPr>
                <w:rFonts w:cs="Arial"/>
                <w:sz w:val="18"/>
                <w:szCs w:val="18"/>
              </w:rPr>
              <w:t>strativní pracovníci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11</w:t>
            </w:r>
            <w:r w:rsidR="00DD488D" w:rsidRPr="00C605D8">
              <w:rPr>
                <w:rFonts w:cs="Arial"/>
                <w:sz w:val="18"/>
                <w:szCs w:val="18"/>
              </w:rPr>
              <w:t xml:space="preserve"> </w:t>
            </w:r>
            <w:r w:rsidRPr="00C605D8">
              <w:rPr>
                <w:rFonts w:cs="Arial"/>
                <w:sz w:val="18"/>
                <w:szCs w:val="18"/>
              </w:rPr>
              <w:t>066</w:t>
            </w:r>
          </w:p>
        </w:tc>
      </w:tr>
      <w:tr w:rsidR="00DD488D" w:rsidRPr="00C605D8" w:rsidTr="00FD0406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722</w:t>
            </w: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Kováři, nástrojaři, zámečníci a pracovníci v příbuzných oborech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9C9" w:rsidRPr="00C605D8" w:rsidRDefault="005849C9" w:rsidP="008D41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605D8">
              <w:rPr>
                <w:rFonts w:cs="Arial"/>
                <w:sz w:val="18"/>
                <w:szCs w:val="18"/>
              </w:rPr>
              <w:t>9</w:t>
            </w:r>
            <w:r w:rsidR="00DD488D" w:rsidRPr="00C605D8">
              <w:rPr>
                <w:rFonts w:cs="Arial"/>
                <w:sz w:val="18"/>
                <w:szCs w:val="18"/>
              </w:rPr>
              <w:t xml:space="preserve"> </w:t>
            </w:r>
            <w:r w:rsidRPr="00C605D8">
              <w:rPr>
                <w:rFonts w:cs="Arial"/>
                <w:sz w:val="18"/>
                <w:szCs w:val="18"/>
              </w:rPr>
              <w:t>791</w:t>
            </w:r>
          </w:p>
        </w:tc>
      </w:tr>
    </w:tbl>
    <w:p w:rsidR="00BC0ED9" w:rsidRPr="00C605D8" w:rsidRDefault="00BC0ED9" w:rsidP="008D41BF">
      <w:pPr>
        <w:spacing w:before="120" w:line="240" w:lineRule="auto"/>
        <w:rPr>
          <w:rFonts w:cs="Arial"/>
        </w:rPr>
      </w:pPr>
    </w:p>
    <w:p w:rsidR="00BC0ED9" w:rsidRPr="00C605D8" w:rsidRDefault="00DA64C2" w:rsidP="008D41BF">
      <w:pPr>
        <w:spacing w:line="240" w:lineRule="auto"/>
        <w:jc w:val="left"/>
        <w:rPr>
          <w:rFonts w:cs="Arial"/>
          <w:b/>
        </w:rPr>
      </w:pPr>
      <w:r w:rsidRPr="00C605D8">
        <w:rPr>
          <w:rFonts w:cs="Arial"/>
          <w:noProof/>
          <w:lang w:eastAsia="cs-CZ"/>
        </w:rPr>
        <w:drawing>
          <wp:inline distT="0" distB="0" distL="0" distR="0">
            <wp:extent cx="5638800" cy="3495675"/>
            <wp:effectExtent l="0" t="0" r="19050" b="952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275DD" w:rsidRPr="00C605D8" w:rsidRDefault="009275DD" w:rsidP="008D41BF">
      <w:pPr>
        <w:spacing w:line="240" w:lineRule="auto"/>
        <w:jc w:val="left"/>
        <w:rPr>
          <w:rFonts w:cs="Arial"/>
          <w:i/>
          <w:sz w:val="18"/>
          <w:szCs w:val="18"/>
        </w:rPr>
      </w:pPr>
      <w:r w:rsidRPr="00C605D8">
        <w:rPr>
          <w:rFonts w:cs="Arial"/>
          <w:i/>
          <w:sz w:val="18"/>
          <w:szCs w:val="18"/>
        </w:rPr>
        <w:t>Pozn</w:t>
      </w:r>
      <w:r w:rsidR="00F93B2A" w:rsidRPr="00C605D8">
        <w:rPr>
          <w:rFonts w:cs="Arial"/>
          <w:i/>
          <w:sz w:val="18"/>
          <w:szCs w:val="18"/>
        </w:rPr>
        <w:t>.</w:t>
      </w:r>
      <w:r w:rsidRPr="00C605D8">
        <w:rPr>
          <w:rFonts w:cs="Arial"/>
          <w:i/>
          <w:sz w:val="18"/>
          <w:szCs w:val="18"/>
        </w:rPr>
        <w:t>: v roce 2006 klasifikace zaměstnání KZAM, v roce 2015 CZ-ISCO, hlavní třídy jsou srovnatelné</w:t>
      </w:r>
    </w:p>
    <w:p w:rsidR="002E713D" w:rsidRPr="00C605D8" w:rsidRDefault="002E713D" w:rsidP="008D41BF">
      <w:pPr>
        <w:spacing w:line="240" w:lineRule="auto"/>
        <w:jc w:val="left"/>
        <w:rPr>
          <w:rFonts w:cs="Arial"/>
          <w:b/>
          <w:i/>
          <w:sz w:val="16"/>
          <w:szCs w:val="16"/>
        </w:rPr>
      </w:pPr>
    </w:p>
    <w:p w:rsidR="002E713D" w:rsidRPr="00C605D8" w:rsidRDefault="002E713D" w:rsidP="008D41BF">
      <w:pPr>
        <w:spacing w:line="240" w:lineRule="auto"/>
        <w:jc w:val="left"/>
        <w:rPr>
          <w:rFonts w:cs="Arial"/>
          <w:b/>
          <w:i/>
          <w:sz w:val="16"/>
          <w:szCs w:val="16"/>
        </w:rPr>
      </w:pPr>
    </w:p>
    <w:p w:rsidR="002E713D" w:rsidRPr="00C605D8" w:rsidRDefault="002E713D" w:rsidP="008D41BF">
      <w:pPr>
        <w:spacing w:line="240" w:lineRule="auto"/>
        <w:jc w:val="left"/>
        <w:rPr>
          <w:rFonts w:cs="Arial"/>
          <w:b/>
          <w:i/>
          <w:sz w:val="16"/>
          <w:szCs w:val="16"/>
        </w:rPr>
      </w:pPr>
    </w:p>
    <w:p w:rsidR="00BC0ED9" w:rsidRPr="00C605D8" w:rsidRDefault="005C01AA" w:rsidP="008D41BF">
      <w:pPr>
        <w:spacing w:before="120" w:line="240" w:lineRule="auto"/>
        <w:jc w:val="center"/>
        <w:rPr>
          <w:rFonts w:cs="Arial"/>
          <w:b/>
          <w:sz w:val="28"/>
          <w:szCs w:val="24"/>
          <w:u w:val="single"/>
        </w:rPr>
      </w:pPr>
      <w:r w:rsidRPr="00C605D8">
        <w:rPr>
          <w:rFonts w:cs="Arial"/>
          <w:noProof/>
          <w:lang w:eastAsia="cs-CZ"/>
        </w:rPr>
        <w:drawing>
          <wp:inline distT="0" distB="0" distL="0" distR="0">
            <wp:extent cx="5760720" cy="40767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UCH_na_VM 12_2006_okre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ED9" w:rsidRPr="00C605D8" w:rsidRDefault="00BC0ED9" w:rsidP="008D41BF">
      <w:pPr>
        <w:spacing w:before="120" w:line="240" w:lineRule="auto"/>
        <w:jc w:val="center"/>
        <w:rPr>
          <w:rFonts w:cs="Arial"/>
          <w:b/>
          <w:sz w:val="28"/>
          <w:szCs w:val="24"/>
          <w:u w:val="single"/>
        </w:rPr>
      </w:pPr>
    </w:p>
    <w:p w:rsidR="00BC0ED9" w:rsidRPr="00C605D8" w:rsidRDefault="00BC0ED9" w:rsidP="008D41BF">
      <w:pPr>
        <w:spacing w:after="200" w:line="240" w:lineRule="auto"/>
        <w:jc w:val="left"/>
        <w:rPr>
          <w:rFonts w:cs="Arial"/>
          <w:b/>
          <w:sz w:val="28"/>
          <w:szCs w:val="24"/>
          <w:u w:val="single"/>
        </w:rPr>
      </w:pPr>
      <w:r w:rsidRPr="00C605D8">
        <w:rPr>
          <w:rFonts w:cs="Arial"/>
          <w:b/>
          <w:sz w:val="28"/>
          <w:szCs w:val="24"/>
          <w:u w:val="single"/>
        </w:rPr>
        <w:br w:type="page"/>
      </w:r>
    </w:p>
    <w:p w:rsidR="000E0C7B" w:rsidRPr="00C605D8" w:rsidRDefault="003A46E7" w:rsidP="008D41BF">
      <w:pPr>
        <w:spacing w:before="120" w:line="240" w:lineRule="auto"/>
        <w:jc w:val="center"/>
        <w:rPr>
          <w:rFonts w:cs="Arial"/>
          <w:b/>
          <w:sz w:val="28"/>
          <w:szCs w:val="24"/>
          <w:u w:val="single"/>
        </w:rPr>
      </w:pPr>
      <w:r w:rsidRPr="00C605D8">
        <w:rPr>
          <w:rFonts w:cs="Arial"/>
          <w:b/>
          <w:sz w:val="28"/>
          <w:szCs w:val="24"/>
          <w:u w:val="single"/>
        </w:rPr>
        <w:lastRenderedPageBreak/>
        <w:t>2</w:t>
      </w:r>
      <w:r w:rsidR="002D7DC2" w:rsidRPr="00C605D8">
        <w:rPr>
          <w:rFonts w:cs="Arial"/>
          <w:b/>
          <w:sz w:val="28"/>
          <w:szCs w:val="24"/>
          <w:u w:val="single"/>
        </w:rPr>
        <w:t>. Analýza nabídky a poptávky na trhu práce</w:t>
      </w:r>
    </w:p>
    <w:p w:rsidR="002D7DC2" w:rsidRPr="00C605D8" w:rsidRDefault="002D7DC2" w:rsidP="008D41BF">
      <w:pPr>
        <w:spacing w:before="120" w:line="240" w:lineRule="auto"/>
        <w:rPr>
          <w:rFonts w:cs="Arial"/>
          <w:szCs w:val="24"/>
        </w:rPr>
      </w:pPr>
    </w:p>
    <w:p w:rsidR="002D7DC2" w:rsidRPr="00C605D8" w:rsidRDefault="002D7DC2" w:rsidP="008D41BF">
      <w:pPr>
        <w:spacing w:before="120"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 xml:space="preserve">Přes pozitivní vývoj na trhu práce v ČR zejména v oblasti poptávky po pracovní síle se v mnoha povoláních objevují výrazné disproporce mezi poptávkou a nabídkou, čili mezi počtem volných pracovních míst v evidenci </w:t>
      </w:r>
      <w:r w:rsidR="00F65933" w:rsidRPr="00C605D8">
        <w:rPr>
          <w:rFonts w:cs="Arial"/>
          <w:szCs w:val="24"/>
        </w:rPr>
        <w:t>ÚP ČR a počtem uchazečů o </w:t>
      </w:r>
      <w:r w:rsidRPr="00C605D8">
        <w:rPr>
          <w:rFonts w:cs="Arial"/>
          <w:szCs w:val="24"/>
        </w:rPr>
        <w:t>zaměstnání. Příčiny tohoto nesouladu lze definovat jak na straně poptávky (volných pracovních míst), tak na straně nabídky (uchazečů o zaměstnání). V následujícím textu jsou tyto příčiny definovány pro nejčastější skupiny povolání</w:t>
      </w:r>
      <w:r w:rsidR="00BC4564" w:rsidRPr="00C605D8">
        <w:rPr>
          <w:rFonts w:cs="Arial"/>
          <w:szCs w:val="24"/>
        </w:rPr>
        <w:t>.</w:t>
      </w:r>
      <w:r w:rsidRPr="00C605D8">
        <w:rPr>
          <w:rFonts w:cs="Arial"/>
          <w:szCs w:val="24"/>
        </w:rPr>
        <w:t xml:space="preserve"> </w:t>
      </w:r>
    </w:p>
    <w:p w:rsidR="00BC4564" w:rsidRPr="00C605D8" w:rsidRDefault="00BC4564" w:rsidP="008D41BF">
      <w:pPr>
        <w:spacing w:before="120" w:line="240" w:lineRule="auto"/>
        <w:rPr>
          <w:rFonts w:cs="Arial"/>
          <w:szCs w:val="24"/>
        </w:rPr>
      </w:pPr>
    </w:p>
    <w:p w:rsidR="002D7DC2" w:rsidRPr="00C605D8" w:rsidRDefault="002D7DC2" w:rsidP="008D41BF">
      <w:pPr>
        <w:spacing w:before="120" w:line="240" w:lineRule="auto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t>2.1 Nejčastěji poptávané skupiny povolání</w:t>
      </w:r>
    </w:p>
    <w:p w:rsidR="002D7DC2" w:rsidRPr="00C605D8" w:rsidRDefault="002D7DC2" w:rsidP="008D41BF">
      <w:pPr>
        <w:spacing w:before="120"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Ze strany zaměstnavatelů jsou nejčastěji poptávána, resp. ÚP ČR hlášena, pracovní místa v 7., 8. a 9. třídě zaměstnání. Jedná se v převážné většině o pracovní místa s nižšími kvalifikačními požadavky, s nízkou nabízenou odměnou za vykonanou práci a obtížnějšími pracovními podmínkami. Řada z těchto pracovních míst je zaměstnavateli hlášena z důvodu obsazení pracovních míst občany třetích zemí</w:t>
      </w:r>
      <w:r w:rsidR="00CD44EC" w:rsidRPr="00C605D8">
        <w:rPr>
          <w:rFonts w:cs="Arial"/>
          <w:szCs w:val="24"/>
        </w:rPr>
        <w:t>.</w:t>
      </w:r>
    </w:p>
    <w:p w:rsidR="00CD44EC" w:rsidRPr="00C605D8" w:rsidRDefault="00CD44EC" w:rsidP="008D41BF">
      <w:pPr>
        <w:spacing w:before="120" w:line="240" w:lineRule="auto"/>
        <w:rPr>
          <w:rFonts w:cs="Arial"/>
          <w:b/>
          <w:szCs w:val="24"/>
        </w:rPr>
      </w:pPr>
      <w:r w:rsidRPr="00C605D8">
        <w:rPr>
          <w:rFonts w:cs="Arial"/>
          <w:szCs w:val="24"/>
        </w:rPr>
        <w:t xml:space="preserve">V oblasti poptávky po pracovní síle, lze vysledovat </w:t>
      </w:r>
      <w:r w:rsidRPr="00C605D8">
        <w:rPr>
          <w:rFonts w:cs="Arial"/>
          <w:b/>
          <w:szCs w:val="24"/>
        </w:rPr>
        <w:t>dva základní determinanty omezující funkční zprostředkování zaměstnání a vytvářející diskrepanci na trhu práce:</w:t>
      </w:r>
    </w:p>
    <w:p w:rsidR="0046428B" w:rsidRPr="00C605D8" w:rsidRDefault="0046428B" w:rsidP="0046428B">
      <w:pPr>
        <w:pStyle w:val="Odstavecseseznamem"/>
        <w:numPr>
          <w:ilvl w:val="0"/>
          <w:numId w:val="1"/>
        </w:numPr>
        <w:spacing w:before="120" w:line="240" w:lineRule="auto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t>poptávka po oborech, které se potýkají s nedostatkem pracovní síly (zejména technické obory).</w:t>
      </w:r>
    </w:p>
    <w:p w:rsidR="0046428B" w:rsidRPr="00157D44" w:rsidRDefault="0046428B" w:rsidP="0046428B">
      <w:pPr>
        <w:pStyle w:val="Odstavecseseznamem"/>
        <w:numPr>
          <w:ilvl w:val="0"/>
          <w:numId w:val="1"/>
        </w:numPr>
        <w:spacing w:before="120" w:line="240" w:lineRule="auto"/>
        <w:rPr>
          <w:rFonts w:cs="Arial"/>
          <w:b/>
          <w:szCs w:val="24"/>
        </w:rPr>
      </w:pPr>
      <w:r w:rsidRPr="00157D44">
        <w:rPr>
          <w:rFonts w:cs="Arial"/>
          <w:b/>
          <w:szCs w:val="24"/>
        </w:rPr>
        <w:t>vzájemná synergie sociálního systému (</w:t>
      </w:r>
      <w:r w:rsidR="007E6217">
        <w:rPr>
          <w:rFonts w:cs="Arial"/>
          <w:b/>
          <w:szCs w:val="24"/>
        </w:rPr>
        <w:t>sociálního příjmu)</w:t>
      </w:r>
      <w:r w:rsidR="00F25C67">
        <w:rPr>
          <w:rFonts w:cs="Arial"/>
          <w:b/>
          <w:szCs w:val="24"/>
        </w:rPr>
        <w:t>,</w:t>
      </w:r>
      <w:r w:rsidR="007E6217">
        <w:rPr>
          <w:rFonts w:cs="Arial"/>
          <w:b/>
          <w:szCs w:val="24"/>
        </w:rPr>
        <w:t xml:space="preserve"> mzdových</w:t>
      </w:r>
      <w:r w:rsidR="00F25C67">
        <w:rPr>
          <w:rFonts w:cs="Arial"/>
          <w:b/>
          <w:szCs w:val="24"/>
        </w:rPr>
        <w:t xml:space="preserve">, </w:t>
      </w:r>
      <w:r w:rsidRPr="00157D44">
        <w:rPr>
          <w:rFonts w:cs="Arial"/>
          <w:b/>
          <w:szCs w:val="24"/>
        </w:rPr>
        <w:t xml:space="preserve">pracovních </w:t>
      </w:r>
      <w:r w:rsidR="00F25C67">
        <w:rPr>
          <w:rFonts w:cs="Arial"/>
          <w:b/>
          <w:szCs w:val="24"/>
        </w:rPr>
        <w:t xml:space="preserve">a životních </w:t>
      </w:r>
      <w:r w:rsidRPr="00157D44">
        <w:rPr>
          <w:rFonts w:cs="Arial"/>
          <w:b/>
          <w:szCs w:val="24"/>
        </w:rPr>
        <w:t>podmínek snižující motivaci pracovní síly k akceptaci zaměstnání</w:t>
      </w:r>
      <w:r w:rsidR="00F25C67">
        <w:rPr>
          <w:rFonts w:cs="Arial"/>
          <w:b/>
          <w:szCs w:val="24"/>
        </w:rPr>
        <w:t xml:space="preserve"> </w:t>
      </w:r>
      <w:r w:rsidR="00F25C67">
        <w:rPr>
          <w:rFonts w:cs="Arial"/>
          <w:szCs w:val="24"/>
        </w:rPr>
        <w:t>(včetně problémů zadluženosti domácností).</w:t>
      </w:r>
    </w:p>
    <w:p w:rsidR="002D7DC2" w:rsidRPr="00C605D8" w:rsidRDefault="00CD44EC" w:rsidP="008D41BF">
      <w:pPr>
        <w:spacing w:before="120"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Nejčastěji poptávané (a neobsazené) jsou níže uvedené skupiny povolání:</w:t>
      </w:r>
    </w:p>
    <w:p w:rsidR="00CD44EC" w:rsidRPr="00C605D8" w:rsidRDefault="00CD44EC" w:rsidP="008D41BF">
      <w:pPr>
        <w:spacing w:before="120" w:line="240" w:lineRule="auto"/>
        <w:rPr>
          <w:rFonts w:cs="Arial"/>
          <w:szCs w:val="24"/>
        </w:rPr>
      </w:pPr>
    </w:p>
    <w:p w:rsidR="002D7DC2" w:rsidRPr="00C605D8" w:rsidRDefault="002D7DC2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 xml:space="preserve">Pomocní pracovníci ve výrobě – CZ ISCO 932 </w:t>
      </w:r>
    </w:p>
    <w:p w:rsidR="002D7DC2" w:rsidRPr="00C605D8" w:rsidRDefault="00ED7DE4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 xml:space="preserve">Jedná se o skupinu prací s nízkými kvalifikačními požadavky s často vysoce nízkou (minimální) mzdou. Její výše </w:t>
      </w:r>
      <w:r w:rsidR="002D7DC2" w:rsidRPr="00C605D8">
        <w:rPr>
          <w:rFonts w:cs="Arial"/>
          <w:szCs w:val="24"/>
        </w:rPr>
        <w:t xml:space="preserve">není pro uchazeče o zaměstnání dostatečně motivující, </w:t>
      </w:r>
      <w:r w:rsidRPr="00C605D8">
        <w:rPr>
          <w:rFonts w:cs="Arial"/>
          <w:szCs w:val="24"/>
        </w:rPr>
        <w:t>zejména v případě nutnosti dojížďky do zaměstnání mimo místo bydliště, kdy není schopna adekvátně kompenzovat zvýšené nákla</w:t>
      </w:r>
      <w:r w:rsidR="00F65933" w:rsidRPr="00C605D8">
        <w:rPr>
          <w:rFonts w:cs="Arial"/>
          <w:szCs w:val="24"/>
        </w:rPr>
        <w:t>dy (doprava, zabezpečení péče o </w:t>
      </w:r>
      <w:r w:rsidRPr="00C605D8">
        <w:rPr>
          <w:rFonts w:cs="Arial"/>
          <w:szCs w:val="24"/>
        </w:rPr>
        <w:t>dítě či jinou závislou osobu atd.).</w:t>
      </w:r>
      <w:r w:rsidR="002D7DC2" w:rsidRPr="00C605D8">
        <w:rPr>
          <w:rFonts w:cs="Arial"/>
          <w:szCs w:val="24"/>
        </w:rPr>
        <w:t xml:space="preserve"> </w:t>
      </w:r>
      <w:r w:rsidRPr="00C605D8">
        <w:rPr>
          <w:rFonts w:cs="Arial"/>
          <w:szCs w:val="24"/>
        </w:rPr>
        <w:t xml:space="preserve">Problematická je rovněž </w:t>
      </w:r>
      <w:r w:rsidR="002D7DC2" w:rsidRPr="00C605D8">
        <w:rPr>
          <w:rFonts w:cs="Arial"/>
          <w:szCs w:val="24"/>
        </w:rPr>
        <w:t>fyzick</w:t>
      </w:r>
      <w:r w:rsidRPr="00C605D8">
        <w:rPr>
          <w:rFonts w:cs="Arial"/>
          <w:szCs w:val="24"/>
        </w:rPr>
        <w:t>á</w:t>
      </w:r>
      <w:r w:rsidR="002D7DC2" w:rsidRPr="00C605D8">
        <w:rPr>
          <w:rFonts w:cs="Arial"/>
          <w:szCs w:val="24"/>
        </w:rPr>
        <w:t xml:space="preserve"> náročno</w:t>
      </w:r>
      <w:r w:rsidRPr="00C605D8">
        <w:rPr>
          <w:rFonts w:cs="Arial"/>
          <w:szCs w:val="24"/>
        </w:rPr>
        <w:t>st</w:t>
      </w:r>
      <w:r w:rsidR="002D7DC2" w:rsidRPr="00C605D8">
        <w:rPr>
          <w:rFonts w:cs="Arial"/>
          <w:szCs w:val="24"/>
        </w:rPr>
        <w:t xml:space="preserve"> prác</w:t>
      </w:r>
      <w:r w:rsidRPr="00C605D8">
        <w:rPr>
          <w:rFonts w:cs="Arial"/>
          <w:szCs w:val="24"/>
        </w:rPr>
        <w:t>e v kombinaci s požadavky na směnnost provozu (dvou až třísměnné provozy)</w:t>
      </w:r>
      <w:r w:rsidR="002D7DC2" w:rsidRPr="00C605D8">
        <w:rPr>
          <w:rFonts w:cs="Arial"/>
          <w:szCs w:val="24"/>
        </w:rPr>
        <w:t xml:space="preserve">. </w:t>
      </w:r>
      <w:r w:rsidRPr="00C605D8">
        <w:rPr>
          <w:rFonts w:cs="Arial"/>
          <w:szCs w:val="24"/>
        </w:rPr>
        <w:t xml:space="preserve">Motivace k přijetí takovéhoto zaměstnání je dále snižována volenými formami pracovně-právních vztahů – často jsou využívány agentury práce a dohody mimo pracovní poměr. </w:t>
      </w:r>
    </w:p>
    <w:p w:rsidR="00FE3F8B" w:rsidRPr="00C605D8" w:rsidRDefault="00FE3F8B" w:rsidP="008D41BF">
      <w:pPr>
        <w:spacing w:line="240" w:lineRule="auto"/>
        <w:rPr>
          <w:rFonts w:cs="Arial"/>
          <w:i/>
          <w:szCs w:val="24"/>
        </w:rPr>
      </w:pPr>
    </w:p>
    <w:p w:rsidR="002D7DC2" w:rsidRPr="00C605D8" w:rsidRDefault="002D7DC2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Montážní dělníci výrobků a zařízení – CZ ISCO 821</w:t>
      </w:r>
    </w:p>
    <w:p w:rsidR="002D7DC2" w:rsidRPr="00C605D8" w:rsidRDefault="00ED7DE4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U této skupiny převažují obdobné problémy, jako v předcházejícím případě</w:t>
      </w:r>
      <w:r w:rsidR="002D7DC2" w:rsidRPr="00C605D8">
        <w:rPr>
          <w:rFonts w:cs="Arial"/>
          <w:szCs w:val="24"/>
        </w:rPr>
        <w:t xml:space="preserve">. Rozdíl tvoří vyšší kvalifikační požadavky na zaměstnance, kdy zaměstnavatelé požadují vyučení a mnohdy také praxi v oboru. </w:t>
      </w:r>
      <w:r w:rsidR="000724B4">
        <w:rPr>
          <w:rFonts w:cs="Arial"/>
          <w:szCs w:val="24"/>
        </w:rPr>
        <w:t xml:space="preserve">Mzdové a pracovní podmínky (směnné provozy) </w:t>
      </w:r>
      <w:r w:rsidR="002D7DC2" w:rsidRPr="00C605D8">
        <w:rPr>
          <w:rFonts w:cs="Arial"/>
          <w:szCs w:val="24"/>
        </w:rPr>
        <w:t xml:space="preserve">ve spojení </w:t>
      </w:r>
      <w:r w:rsidR="000724B4">
        <w:rPr>
          <w:rFonts w:cs="Arial"/>
          <w:szCs w:val="24"/>
        </w:rPr>
        <w:t>s využíváním</w:t>
      </w:r>
      <w:r w:rsidR="002D7DC2" w:rsidRPr="00C605D8">
        <w:rPr>
          <w:rFonts w:cs="Arial"/>
          <w:szCs w:val="24"/>
        </w:rPr>
        <w:t xml:space="preserve"> agenturního zaměstnávání však způsobují nezájem o tyto pozice ze strany uchazečů o zaměstnání. Dalším problémem je přímá závislost pracovních míst na zakázkách zaměstnavatele, kdy v případě nové zakázky zaměstnavatel poptává vyšší počet kvalifikovaných zaměstnanců s praxí a naopak v případě ztráty zakázek zaměstnance propouští. </w:t>
      </w:r>
      <w:r w:rsidRPr="00C605D8">
        <w:rPr>
          <w:rFonts w:cs="Arial"/>
          <w:szCs w:val="24"/>
        </w:rPr>
        <w:t xml:space="preserve">Jedná se tedy o skupinu povolání </w:t>
      </w:r>
      <w:r w:rsidRPr="00C605D8">
        <w:rPr>
          <w:rFonts w:cs="Arial"/>
          <w:szCs w:val="24"/>
        </w:rPr>
        <w:lastRenderedPageBreak/>
        <w:t>s charakteristickou vysokou fluktuací způsobenou jak pracovní silou, tak vlastní závislostí vykonávaných prací na objemu zakázek, včetně vlivu sezónnosti</w:t>
      </w:r>
      <w:r w:rsidR="002D7DC2" w:rsidRPr="00C605D8">
        <w:rPr>
          <w:rFonts w:cs="Arial"/>
          <w:szCs w:val="24"/>
        </w:rPr>
        <w:t xml:space="preserve">. </w:t>
      </w:r>
    </w:p>
    <w:p w:rsidR="00ED7DE4" w:rsidRPr="00C605D8" w:rsidRDefault="00ED7DE4" w:rsidP="008D41BF">
      <w:pPr>
        <w:spacing w:line="240" w:lineRule="auto"/>
        <w:rPr>
          <w:rFonts w:cs="Arial"/>
          <w:szCs w:val="24"/>
        </w:rPr>
      </w:pPr>
    </w:p>
    <w:p w:rsidR="002D7DC2" w:rsidRPr="00C605D8" w:rsidRDefault="002D7DC2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Řidiči nákladních automobilů, autobusů a tramvají – CZ ISCO 833</w:t>
      </w:r>
    </w:p>
    <w:p w:rsidR="002D7DC2" w:rsidRPr="00C605D8" w:rsidRDefault="002D7DC2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 xml:space="preserve">Hlavními problémy při snaze obsadit volná pracovní </w:t>
      </w:r>
      <w:r w:rsidR="00CC15DF">
        <w:rPr>
          <w:rFonts w:cs="Arial"/>
          <w:szCs w:val="24"/>
        </w:rPr>
        <w:t>místa z této skupiny je obava z </w:t>
      </w:r>
      <w:r w:rsidRPr="00C605D8">
        <w:rPr>
          <w:rFonts w:cs="Arial"/>
          <w:szCs w:val="24"/>
        </w:rPr>
        <w:t>odpovědnosti za cestující v případě řidičů autobusu nebo tramvaje</w:t>
      </w:r>
      <w:r w:rsidR="00ED7DE4" w:rsidRPr="00C605D8">
        <w:rPr>
          <w:rFonts w:cs="Arial"/>
          <w:szCs w:val="24"/>
        </w:rPr>
        <w:t xml:space="preserve">. V případě řidičů v nákladní dopravě je výraznou bariérou </w:t>
      </w:r>
      <w:r w:rsidRPr="00C605D8">
        <w:rPr>
          <w:rFonts w:cs="Arial"/>
          <w:szCs w:val="24"/>
        </w:rPr>
        <w:t xml:space="preserve">časová náročnost </w:t>
      </w:r>
      <w:r w:rsidR="00ED7DE4" w:rsidRPr="00C605D8">
        <w:rPr>
          <w:rFonts w:cs="Arial"/>
          <w:szCs w:val="24"/>
        </w:rPr>
        <w:t>znemožňující soulad mezi rodinným a pracovním životem</w:t>
      </w:r>
      <w:r w:rsidRPr="00C605D8">
        <w:rPr>
          <w:rFonts w:cs="Arial"/>
          <w:szCs w:val="24"/>
        </w:rPr>
        <w:t xml:space="preserve">. Mnoho uchazečů o zaměstnání má také negativní zkušenost s tlakem zaměstnavatelů na překračování legislativních norem (např. délka jízdy, množství přepravovaného nákladu, technický stav vozidla). Další překážkou jsou vysoké kvalifikační nároky v podobě speciálních </w:t>
      </w:r>
      <w:r w:rsidR="00ED7DE4" w:rsidRPr="00C605D8">
        <w:rPr>
          <w:rFonts w:cs="Arial"/>
          <w:szCs w:val="24"/>
        </w:rPr>
        <w:t xml:space="preserve">(finančně nákladných) </w:t>
      </w:r>
      <w:r w:rsidRPr="00C605D8">
        <w:rPr>
          <w:rFonts w:cs="Arial"/>
          <w:szCs w:val="24"/>
        </w:rPr>
        <w:t>řidičských oprávnění a nutná praxe.</w:t>
      </w:r>
    </w:p>
    <w:p w:rsidR="00ED7DE4" w:rsidRPr="00C605D8" w:rsidRDefault="00ED7DE4" w:rsidP="008D41BF">
      <w:pPr>
        <w:spacing w:line="240" w:lineRule="auto"/>
        <w:rPr>
          <w:rFonts w:cs="Arial"/>
          <w:szCs w:val="24"/>
        </w:rPr>
      </w:pPr>
    </w:p>
    <w:p w:rsidR="002D7DC2" w:rsidRPr="00C605D8" w:rsidRDefault="002D7DC2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Kováři, nástrojáři a příbuzní pracovníci – CZ ISCO 722</w:t>
      </w:r>
      <w:r w:rsidRPr="00C605D8">
        <w:rPr>
          <w:rFonts w:cs="Arial"/>
          <w:b/>
          <w:i/>
          <w:szCs w:val="24"/>
        </w:rPr>
        <w:tab/>
      </w:r>
    </w:p>
    <w:p w:rsidR="002D7DC2" w:rsidRPr="00C605D8" w:rsidRDefault="002D7DC2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Vysoký počet volných pracovních míst, která se nedaří v této skupině dlouhodobě obsadit, souvisí s vysokými kvalifikačními a dovedn</w:t>
      </w:r>
      <w:r w:rsidR="00F65933" w:rsidRPr="00C605D8">
        <w:rPr>
          <w:rFonts w:cs="Arial"/>
          <w:szCs w:val="24"/>
        </w:rPr>
        <w:t>ostními nároky na zaměstnance a </w:t>
      </w:r>
      <w:r w:rsidRPr="00C605D8">
        <w:rPr>
          <w:rFonts w:cs="Arial"/>
          <w:szCs w:val="24"/>
        </w:rPr>
        <w:t>nedostatkem pracovní síly ve strojírenských profesích. Zaměstnavatelé často požadují další znalosti (v případě obsluhy a seřizovačů CNC strojů základní znalost anglického jazyka) a dostatečnou praxi.</w:t>
      </w:r>
    </w:p>
    <w:p w:rsidR="002D7DC2" w:rsidRPr="00C605D8" w:rsidRDefault="002D7DC2" w:rsidP="008D41BF">
      <w:pPr>
        <w:spacing w:line="240" w:lineRule="auto"/>
        <w:rPr>
          <w:rFonts w:cs="Arial"/>
          <w:b/>
          <w:szCs w:val="24"/>
        </w:rPr>
      </w:pPr>
    </w:p>
    <w:p w:rsidR="002D7DC2" w:rsidRPr="00C605D8" w:rsidRDefault="002D7DC2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Pracovníci v oblasti ochrany a ostrahy – CZ ISCO 541</w:t>
      </w:r>
    </w:p>
    <w:p w:rsidR="00035E91" w:rsidRDefault="002D7DC2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 xml:space="preserve">Část z celkového počtu volných pracovních míst spadajících do této skupiny jsou dlouhodobě hlášená volná místa Policií ČR. Tyto pozice jsou z důvodu požadavků zaměstnavatele (zejména psychotesty a testy fyzické zdatnosti) velmi obtížně </w:t>
      </w:r>
      <w:proofErr w:type="spellStart"/>
      <w:r w:rsidRPr="00C605D8">
        <w:rPr>
          <w:rFonts w:cs="Arial"/>
          <w:szCs w:val="24"/>
        </w:rPr>
        <w:t>obsa</w:t>
      </w:r>
      <w:r w:rsidR="00035E91" w:rsidRPr="00C605D8">
        <w:rPr>
          <w:rFonts w:cs="Arial"/>
          <w:szCs w:val="24"/>
        </w:rPr>
        <w:t>di</w:t>
      </w:r>
      <w:r w:rsidRPr="00C605D8">
        <w:rPr>
          <w:rFonts w:cs="Arial"/>
          <w:szCs w:val="24"/>
        </w:rPr>
        <w:t>telné</w:t>
      </w:r>
      <w:proofErr w:type="spellEnd"/>
      <w:r w:rsidRPr="00C605D8">
        <w:rPr>
          <w:rFonts w:cs="Arial"/>
          <w:szCs w:val="24"/>
        </w:rPr>
        <w:t xml:space="preserve">, je nutná motivace a zájem samotného uchazeče. Na zbývající volná pracovní místa z této skupiny zaměstnavatelé požadují především osoby zdravotně postižené na zkrácené a krátkodobé úvazky. </w:t>
      </w:r>
    </w:p>
    <w:p w:rsidR="007E6217" w:rsidRPr="00C605D8" w:rsidRDefault="007E6217" w:rsidP="008D41BF">
      <w:pPr>
        <w:spacing w:line="240" w:lineRule="auto"/>
        <w:rPr>
          <w:rFonts w:cs="Arial"/>
          <w:szCs w:val="24"/>
        </w:rPr>
      </w:pPr>
    </w:p>
    <w:p w:rsidR="002D7DC2" w:rsidRPr="00C605D8" w:rsidRDefault="002D7DC2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Obsluha pojízdných zařízení – CZ ISCO 834</w:t>
      </w:r>
    </w:p>
    <w:p w:rsidR="002D7DC2" w:rsidRPr="00C605D8" w:rsidRDefault="002D7DC2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V této skupině jsou majoritně zastoupeni skladníci, obsluha vysokozdvižných vozíků. Jedná se o fyzicky náročnou práci často v nepřetržitých provozech umístěných na periferiích, kam zaměstnanci musí dojíždět.</w:t>
      </w:r>
      <w:r w:rsidR="00035E91" w:rsidRPr="00C605D8">
        <w:rPr>
          <w:rFonts w:cs="Arial"/>
          <w:szCs w:val="24"/>
        </w:rPr>
        <w:t xml:space="preserve"> Rovněž v tomto případě je tedy problematické nízké mzdové ohodnocení v kombinaci s fyzicky náročnou prací, dojížďkou a směnností provozů.</w:t>
      </w:r>
    </w:p>
    <w:p w:rsidR="00035E91" w:rsidRPr="00C605D8" w:rsidRDefault="00035E91" w:rsidP="008D41BF">
      <w:pPr>
        <w:spacing w:line="240" w:lineRule="auto"/>
        <w:rPr>
          <w:rFonts w:cs="Arial"/>
          <w:szCs w:val="24"/>
        </w:rPr>
      </w:pPr>
    </w:p>
    <w:p w:rsidR="002D7DC2" w:rsidRPr="00C605D8" w:rsidRDefault="002D7DC2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Slévači, svářeči a příbuzní pracovníci – CZ ISCO 721</w:t>
      </w:r>
    </w:p>
    <w:p w:rsidR="002D7DC2" w:rsidRPr="00C605D8" w:rsidRDefault="002D7DC2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V oborech této skupiny povolání hrají významnou roli vysoké nároky zaměstnavatelů, kteří požadují mimo vzdělání v oboru také osvědčení (různé druhy svářečských průkazů) a odpovídající praxi.</w:t>
      </w:r>
      <w:r w:rsidR="00035E91" w:rsidRPr="00C605D8">
        <w:rPr>
          <w:rFonts w:cs="Arial"/>
          <w:szCs w:val="24"/>
        </w:rPr>
        <w:t xml:space="preserve"> Projevuje se rovněž nedostatek vhodné pracovní síly v technických profesích, zejména u mladších ročníků.</w:t>
      </w:r>
    </w:p>
    <w:p w:rsidR="00035E91" w:rsidRPr="00C605D8" w:rsidRDefault="00035E91" w:rsidP="008D41BF">
      <w:pPr>
        <w:spacing w:line="240" w:lineRule="auto"/>
        <w:rPr>
          <w:rFonts w:cs="Arial"/>
          <w:szCs w:val="24"/>
        </w:rPr>
      </w:pPr>
    </w:p>
    <w:p w:rsidR="002D7DC2" w:rsidRPr="00C605D8" w:rsidRDefault="002D7DC2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Řemeslníci a kvalifikovaní pracovníci hlavní stavební výroby – CZ ISCO 711</w:t>
      </w:r>
    </w:p>
    <w:p w:rsidR="002D7DC2" w:rsidRPr="00C605D8" w:rsidRDefault="002D7DC2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Na volné pracovní pozice v této skupině povolání je požadována praxe v oboru, která uchazečům o zaměstnání schází. Dalším významným faktorem je úroveň odměňování a vysoká fluktuace v závislosti na zakázkách.</w:t>
      </w:r>
    </w:p>
    <w:p w:rsidR="00035E91" w:rsidRPr="00C605D8" w:rsidRDefault="00035E91" w:rsidP="008D41BF">
      <w:pPr>
        <w:spacing w:line="240" w:lineRule="auto"/>
        <w:rPr>
          <w:rFonts w:cs="Arial"/>
          <w:szCs w:val="24"/>
        </w:rPr>
      </w:pPr>
    </w:p>
    <w:p w:rsidR="002D7DC2" w:rsidRPr="00C605D8" w:rsidRDefault="002D7DC2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Kuchaři, pomocní kuchaři – CZ ISCO 512</w:t>
      </w:r>
    </w:p>
    <w:p w:rsidR="002D7DC2" w:rsidRPr="00C605D8" w:rsidRDefault="002D7DC2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 xml:space="preserve">Zaměstnavatelé velmi často poukazují na nedostatečnou přípravu absolventů kuchařských oborů.  Z tohoto důvodu požadují praxi v oboru, kterou mnoho uchazečů v evidenci nesplňuje. Dalším faktorem je časté porušování </w:t>
      </w:r>
      <w:r w:rsidRPr="00C605D8">
        <w:rPr>
          <w:rFonts w:cs="Arial"/>
          <w:szCs w:val="24"/>
        </w:rPr>
        <w:lastRenderedPageBreak/>
        <w:t>pracovněprávních vztahů, a to zejména v oblasti odměňování (část mzdy dostávají zaměstnanci „na ruku“). V neposlední řadě ovlivňuje poptávku po nabízených pozicích vysoká fluktuace zaměstnanců v závislosti na sezónním vývoji.</w:t>
      </w:r>
    </w:p>
    <w:p w:rsidR="00035E91" w:rsidRPr="00C605D8" w:rsidRDefault="00035E91" w:rsidP="008D41BF">
      <w:pPr>
        <w:spacing w:line="240" w:lineRule="auto"/>
        <w:rPr>
          <w:rFonts w:cs="Arial"/>
          <w:szCs w:val="24"/>
        </w:rPr>
      </w:pPr>
    </w:p>
    <w:p w:rsidR="002D7DC2" w:rsidRPr="00C605D8" w:rsidRDefault="002D7DC2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Prodavači a příbuzní pracovníci v prodejnách – CZ ISCO 522</w:t>
      </w:r>
    </w:p>
    <w:p w:rsidR="002D7DC2" w:rsidRPr="00C605D8" w:rsidRDefault="002D7DC2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Pracovní pozice v této skupině povolání jsou mnohdy časově náročné (směnnost, práce o víkendech a svátcích), s</w:t>
      </w:r>
      <w:r w:rsidR="000724B4">
        <w:rPr>
          <w:rFonts w:cs="Arial"/>
          <w:szCs w:val="24"/>
        </w:rPr>
        <w:t xml:space="preserve"> relativně </w:t>
      </w:r>
      <w:r w:rsidRPr="00C605D8">
        <w:rPr>
          <w:rFonts w:cs="Arial"/>
          <w:szCs w:val="24"/>
        </w:rPr>
        <w:t>nízkou úrovní odměňování. Dalším problémem je množství úvazků uzavíraných mimo pracovní poměr.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</w:p>
    <w:p w:rsidR="00EF5DCC" w:rsidRPr="00C605D8" w:rsidRDefault="00EF5DCC" w:rsidP="008D41BF">
      <w:pPr>
        <w:spacing w:line="240" w:lineRule="auto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t>2.2 Nejpočetnější skupiny uchazečů o zaměstnání</w:t>
      </w:r>
    </w:p>
    <w:p w:rsidR="00EF5DCC" w:rsidRPr="00C605D8" w:rsidRDefault="00EF5DCC" w:rsidP="008D41BF">
      <w:pPr>
        <w:spacing w:before="120"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Faktory ovlivňující soulad mezi nabídkou a poptávkou na trhu práce na straně pracovní síly úzce souvisí s faktory uváděnými výše v oblasti poptávky po pracovní síle. Dominují zejména:</w:t>
      </w:r>
    </w:p>
    <w:p w:rsidR="000724B4" w:rsidRPr="00C605D8" w:rsidRDefault="000724B4" w:rsidP="000724B4">
      <w:pPr>
        <w:pStyle w:val="Odstavecseseznamem"/>
        <w:numPr>
          <w:ilvl w:val="0"/>
          <w:numId w:val="2"/>
        </w:numPr>
        <w:spacing w:before="120" w:line="240" w:lineRule="auto"/>
        <w:ind w:left="714" w:hanging="357"/>
        <w:contextualSpacing w:val="0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t>kvalifikace neodpovídající potřebám zaměstnavatelů.</w:t>
      </w:r>
    </w:p>
    <w:p w:rsidR="00EF5DCC" w:rsidRPr="00C605D8" w:rsidRDefault="00EF5DCC" w:rsidP="008D41BF">
      <w:pPr>
        <w:pStyle w:val="Odstavecseseznamem"/>
        <w:numPr>
          <w:ilvl w:val="0"/>
          <w:numId w:val="2"/>
        </w:numPr>
        <w:spacing w:before="120" w:line="240" w:lineRule="auto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t xml:space="preserve">neochota pracovní síly akceptovat za </w:t>
      </w:r>
      <w:r w:rsidR="002A7166">
        <w:rPr>
          <w:rFonts w:cs="Arial"/>
          <w:b/>
          <w:szCs w:val="24"/>
        </w:rPr>
        <w:t>nabízených mzdových a </w:t>
      </w:r>
      <w:r w:rsidR="000724B4">
        <w:rPr>
          <w:rFonts w:cs="Arial"/>
          <w:b/>
          <w:szCs w:val="24"/>
        </w:rPr>
        <w:t xml:space="preserve">pracovních </w:t>
      </w:r>
      <w:r w:rsidRPr="00C605D8">
        <w:rPr>
          <w:rFonts w:cs="Arial"/>
          <w:b/>
          <w:szCs w:val="24"/>
        </w:rPr>
        <w:t xml:space="preserve">podmínek </w:t>
      </w:r>
      <w:r w:rsidR="000724B4">
        <w:rPr>
          <w:rFonts w:cs="Arial"/>
          <w:b/>
          <w:szCs w:val="24"/>
        </w:rPr>
        <w:t>poptávané</w:t>
      </w:r>
      <w:r w:rsidRPr="00C605D8">
        <w:rPr>
          <w:rFonts w:cs="Arial"/>
          <w:b/>
          <w:szCs w:val="24"/>
        </w:rPr>
        <w:t xml:space="preserve"> pracovní pozic</w:t>
      </w:r>
      <w:r w:rsidR="000724B4">
        <w:rPr>
          <w:rFonts w:cs="Arial"/>
          <w:b/>
          <w:szCs w:val="24"/>
        </w:rPr>
        <w:t>e</w:t>
      </w:r>
      <w:r w:rsidRPr="00C605D8">
        <w:rPr>
          <w:rFonts w:cs="Arial"/>
          <w:b/>
          <w:szCs w:val="24"/>
        </w:rPr>
        <w:t>, zejména v synergii s dalšími, zejména sociálními, příjmy domácností (sociální dávky)</w:t>
      </w:r>
      <w:r w:rsidR="001A4A7D">
        <w:rPr>
          <w:rFonts w:cs="Arial"/>
          <w:b/>
          <w:szCs w:val="24"/>
        </w:rPr>
        <w:t xml:space="preserve"> a </w:t>
      </w:r>
      <w:r w:rsidR="00F25C67">
        <w:rPr>
          <w:rFonts w:cs="Arial"/>
          <w:b/>
          <w:szCs w:val="24"/>
        </w:rPr>
        <w:t>životními podmínkami (např. zadluženost)</w:t>
      </w:r>
      <w:r w:rsidR="00CC15DF">
        <w:rPr>
          <w:rFonts w:cs="Arial"/>
          <w:b/>
          <w:szCs w:val="24"/>
        </w:rPr>
        <w:t>.</w:t>
      </w:r>
    </w:p>
    <w:p w:rsidR="00EF5DCC" w:rsidRPr="00C605D8" w:rsidRDefault="00EF5DCC" w:rsidP="008D41BF">
      <w:pPr>
        <w:spacing w:line="240" w:lineRule="auto"/>
        <w:ind w:left="360"/>
        <w:rPr>
          <w:rFonts w:cs="Arial"/>
          <w:szCs w:val="24"/>
        </w:rPr>
      </w:pPr>
    </w:p>
    <w:p w:rsidR="00EF5DCC" w:rsidRPr="00C605D8" w:rsidRDefault="00EF5DCC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Pomocní pracovníci ve výrobě – CZ ISCO 932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Mezi hlavní faktory, které determinují vysoký počet uchazečů o zaměstnání v této skupině, se řadí nízká kvalifikace, nedostatečná praxe a nevyhovující zdravotní stav uchazečů o zaměstnání. Dále to jsou problémy spojené s dojížděním a nesoulad rodinného života se směnným provozem. Stále více zaměstnavatelů požaduje další dovednosti a osvědčení, např. svářečský průkaz nebo oprávnění k obsluze určitého zařízení.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</w:p>
    <w:p w:rsidR="00EF5DCC" w:rsidRPr="00C605D8" w:rsidRDefault="00EF5DCC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Prodavači a příbuzní pracovníci v prodejnách – CZ ISCO 522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O pracovní místa v této skupině povolání žádají převážně ženy, které ovšem nemohou mnohdy spojit péči o děti s časovou náročností zaměstnání. Důležitým faktorem je také množství nekolidujících zaměstnání v tomto oboru.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</w:p>
    <w:p w:rsidR="00EF5DCC" w:rsidRPr="00C605D8" w:rsidRDefault="00EF5DCC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Všeobecní administrativní pracovníci – CZ ISCO 411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Velkým problémem pro uchazeče o zaměstnání, kteří chtějí pracovat v</w:t>
      </w:r>
      <w:r w:rsidR="002A7166">
        <w:rPr>
          <w:rFonts w:cs="Arial"/>
          <w:szCs w:val="24"/>
        </w:rPr>
        <w:t> </w:t>
      </w:r>
      <w:r w:rsidRPr="00C605D8">
        <w:rPr>
          <w:rFonts w:cs="Arial"/>
          <w:szCs w:val="24"/>
        </w:rPr>
        <w:t xml:space="preserve">administrativě, je dlouhodobě nízký počet volných pracovních míst v tomto oboru (za celou ČR připadá celkem 11,7 uchazeče o zaměstnání na jedno volné pracovní místo). 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</w:p>
    <w:p w:rsidR="00EF5DCC" w:rsidRPr="00C605D8" w:rsidRDefault="00EF5DCC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 xml:space="preserve">Uklízeči a pomocníci – CZ ISCO 911 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Stejně jako v předchozí skupině je i v této ob</w:t>
      </w:r>
      <w:r w:rsidR="00F65933" w:rsidRPr="00C605D8">
        <w:rPr>
          <w:rFonts w:cs="Arial"/>
          <w:szCs w:val="24"/>
        </w:rPr>
        <w:t>lasti výrazný převis uchazečů o </w:t>
      </w:r>
      <w:r w:rsidRPr="00C605D8">
        <w:rPr>
          <w:rFonts w:cs="Arial"/>
          <w:szCs w:val="24"/>
        </w:rPr>
        <w:t>zaměstnání nad množstvím nabízených pozic. Zaměstnavatelé preferují zaměstnávání osob zdravotně postižených, z nichž však řada tyto profese nemůže právě s ohledem na svůj zdravotní stav vykonávat.</w:t>
      </w:r>
    </w:p>
    <w:p w:rsidR="00FE3F8B" w:rsidRPr="00C605D8" w:rsidRDefault="00FE3F8B" w:rsidP="008D41BF">
      <w:pPr>
        <w:spacing w:line="240" w:lineRule="auto"/>
        <w:rPr>
          <w:rFonts w:cs="Arial"/>
          <w:szCs w:val="24"/>
        </w:rPr>
      </w:pPr>
    </w:p>
    <w:p w:rsidR="00FE3F8B" w:rsidRPr="00C605D8" w:rsidRDefault="00EF5DCC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Pracovníci v oblasti ochrany a ostrahy – CZ ISCO 541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Většina uchazečů o zaměstnání v této skupině povolání jsou zároveň osoby zdravotně postižené, které ovšem nesplňují požadavky zaměstnavatelů. Důležitým faktorem je v této skupině také množství nekolidujících zaměstnání.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</w:p>
    <w:p w:rsidR="002A7166" w:rsidRDefault="002A7166" w:rsidP="008D41BF">
      <w:pPr>
        <w:spacing w:line="240" w:lineRule="auto"/>
        <w:rPr>
          <w:rFonts w:cs="Arial"/>
          <w:b/>
          <w:i/>
          <w:szCs w:val="24"/>
        </w:rPr>
      </w:pPr>
    </w:p>
    <w:p w:rsidR="002A7166" w:rsidRDefault="002A7166" w:rsidP="008D41BF">
      <w:pPr>
        <w:spacing w:line="240" w:lineRule="auto"/>
        <w:rPr>
          <w:rFonts w:cs="Arial"/>
          <w:b/>
          <w:i/>
          <w:szCs w:val="24"/>
        </w:rPr>
      </w:pPr>
    </w:p>
    <w:p w:rsidR="00EF5DCC" w:rsidRPr="00C605D8" w:rsidRDefault="00EF5DCC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Řemeslníci a kvalifikovaní pracovníci hlavní stavební výroby – CZ ISCO 711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Uchazečům mnohdy schází praxe v oboru a nejsou ochotni přijmout nabízené mzdové podmínky za fyzicky náročnou práci.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</w:p>
    <w:p w:rsidR="00EF5DCC" w:rsidRPr="00C605D8" w:rsidRDefault="00EF5DCC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Řidiči automobilů (kromě nákladních) – CZ ISCO 832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Uchazeči o zaměstnání, kteří vlastní řidičské oprávnění skupiny B, při vstupu do evidence často uvádějí, že chtějí být zaměstnáni jako řidiči osobního automobilu (např. osobní řidič). Těchto míst je na trhu velmi málo a navíc jsou spojena i s dalšími nároky.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</w:p>
    <w:p w:rsidR="00EF5DCC" w:rsidRPr="00C605D8" w:rsidRDefault="00EF5DCC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Číšníci, servírky a barmani – CZ ISCO 513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V této oblasti jsou největšími problémy nekolidující zaměstnání a práce na černo, v neposlední řadě také časová náročnost povolání a praxe v odměňování, kdy zaměstnanci dostávají pouze část celkové odměny na základě uzavřené smlouvy (dohody).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</w:p>
    <w:p w:rsidR="00EF5DCC" w:rsidRPr="00C605D8" w:rsidRDefault="00EF5DCC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Kuchaři, pomocní kuchaři – CZ ISCO 512</w:t>
      </w:r>
    </w:p>
    <w:p w:rsidR="00EF5DCC" w:rsidRPr="00C605D8" w:rsidRDefault="00EF5DCC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Uchazeči, přestože jsou absolventi požadovaného oboru, velmi často nesplňují požadavky zaměstnavatelů a nemají skutečný zájem o práci v oboru. Na druhou stranu řada uchazečů (absolventů) nesplňuje požadovanou praxi.</w:t>
      </w:r>
    </w:p>
    <w:p w:rsidR="00EF5DCC" w:rsidRPr="00C605D8" w:rsidRDefault="00EF5DCC" w:rsidP="008D41BF">
      <w:pPr>
        <w:spacing w:line="240" w:lineRule="auto"/>
        <w:rPr>
          <w:rFonts w:cs="Arial"/>
          <w:b/>
          <w:szCs w:val="24"/>
        </w:rPr>
      </w:pPr>
    </w:p>
    <w:p w:rsidR="00EF5DCC" w:rsidRPr="00C605D8" w:rsidRDefault="00EF5DCC" w:rsidP="008D41BF">
      <w:pPr>
        <w:spacing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Kováři, nástrojáři a příbuzní pracovníci – CZ ISCO 722</w:t>
      </w:r>
    </w:p>
    <w:p w:rsidR="00135E5B" w:rsidRDefault="00EF5DCC" w:rsidP="00135E5B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 xml:space="preserve">Uchazeči velmi často nesplňují nároky zaměstnavatelů, a to jak z hlediska znalostí získaných vzděláním, tak osobními předpoklady </w:t>
      </w:r>
      <w:r w:rsidR="00F65933" w:rsidRPr="00C605D8">
        <w:rPr>
          <w:rFonts w:cs="Arial"/>
          <w:szCs w:val="24"/>
        </w:rPr>
        <w:t>a ochotou doplnit si znalosti a </w:t>
      </w:r>
      <w:r w:rsidRPr="00C605D8">
        <w:rPr>
          <w:rFonts w:cs="Arial"/>
          <w:szCs w:val="24"/>
        </w:rPr>
        <w:t>dovednosti. Mnoho uchazečů také nesplňuje požadovanou praxi.</w:t>
      </w:r>
    </w:p>
    <w:p w:rsidR="00135E5B" w:rsidRDefault="00135E5B" w:rsidP="00135E5B">
      <w:pPr>
        <w:spacing w:line="240" w:lineRule="auto"/>
        <w:rPr>
          <w:rFonts w:cs="Arial"/>
          <w:szCs w:val="24"/>
        </w:rPr>
      </w:pPr>
    </w:p>
    <w:p w:rsidR="00135E5B" w:rsidRDefault="00135E5B" w:rsidP="00135E5B">
      <w:pPr>
        <w:spacing w:line="240" w:lineRule="auto"/>
        <w:rPr>
          <w:rFonts w:cs="Arial"/>
          <w:b/>
          <w:szCs w:val="24"/>
        </w:rPr>
      </w:pPr>
    </w:p>
    <w:p w:rsidR="0089103B" w:rsidRPr="00C605D8" w:rsidRDefault="0089103B" w:rsidP="00135E5B">
      <w:pPr>
        <w:spacing w:line="240" w:lineRule="auto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t>2.3 Nejzávažnější problémy související s problematikou</w:t>
      </w:r>
      <w:r w:rsidR="00F65933" w:rsidRPr="00C605D8">
        <w:rPr>
          <w:rFonts w:cs="Arial"/>
          <w:b/>
          <w:szCs w:val="24"/>
        </w:rPr>
        <w:t xml:space="preserve"> nesouladu nabídky a </w:t>
      </w:r>
      <w:r w:rsidRPr="00C605D8">
        <w:rPr>
          <w:rFonts w:cs="Arial"/>
          <w:b/>
          <w:szCs w:val="24"/>
        </w:rPr>
        <w:t>poptávky na trhu práce</w:t>
      </w:r>
    </w:p>
    <w:p w:rsidR="008D200F" w:rsidRPr="00C605D8" w:rsidRDefault="0089103B" w:rsidP="008D41BF">
      <w:pPr>
        <w:spacing w:before="120"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Z výše uvedeného rozboru situace v oblasti poptáv</w:t>
      </w:r>
      <w:r w:rsidR="00F65933" w:rsidRPr="00C605D8">
        <w:rPr>
          <w:rFonts w:cs="Arial"/>
          <w:szCs w:val="24"/>
        </w:rPr>
        <w:t>aných volných pracovních míst a </w:t>
      </w:r>
      <w:r w:rsidRPr="00C605D8">
        <w:rPr>
          <w:rFonts w:cs="Arial"/>
          <w:szCs w:val="24"/>
        </w:rPr>
        <w:t xml:space="preserve">nabídky pracovní síly vyplývají některé zásadní disproporční charakteristiky na českém trhu práce. </w:t>
      </w:r>
    </w:p>
    <w:p w:rsidR="0089103B" w:rsidRPr="00C605D8" w:rsidRDefault="0089103B" w:rsidP="008D41BF">
      <w:pPr>
        <w:spacing w:before="120" w:line="240" w:lineRule="auto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t>Předně se jedná o problémy v oblasti kvalifikace pracovní síly v komparaci s potřebami zaměstnavatelů, otázky podmínek výkonu práce, zejména s ohledem na využívané formy pracovních vztahů a výši odměny za práci. Výrazným problémem jsou rovněž charakteristiky pracovní síly v oblasti zdravotního stavu, sociálního a ekonomického zázemí pracovní síly, zejména s přihlédnutím na sociální systém</w:t>
      </w:r>
      <w:r w:rsidR="00F73A71">
        <w:rPr>
          <w:rFonts w:cs="Arial"/>
          <w:b/>
          <w:szCs w:val="24"/>
        </w:rPr>
        <w:t xml:space="preserve"> </w:t>
      </w:r>
      <w:r w:rsidR="00F73A71" w:rsidRPr="00F73A71">
        <w:rPr>
          <w:rFonts w:cs="Arial"/>
          <w:szCs w:val="24"/>
        </w:rPr>
        <w:t>(tj. dávkovou podporu, zejména u vícedětných rodin, problematickou dostupnost služeb péče o závislé členy domácnosti z důvodu věku nebo zdravotního stavu a dostupnost volnočasových služeb pro děti školního věku, efektivní sociální práce)</w:t>
      </w:r>
      <w:r w:rsidRPr="00C605D8">
        <w:rPr>
          <w:rFonts w:cs="Arial"/>
          <w:b/>
          <w:szCs w:val="24"/>
        </w:rPr>
        <w:t>, exekuce a požadavek pracovní síly na vyšší soulad mezi rodinným a pracovním životem. V neposlední řadě se jako problémové jeví regionální rozložení poptávky a nabídky po pracovní síle</w:t>
      </w:r>
      <w:r w:rsidR="00AA7A14" w:rsidRPr="00C605D8">
        <w:rPr>
          <w:rFonts w:cs="Arial"/>
          <w:b/>
          <w:szCs w:val="24"/>
        </w:rPr>
        <w:t>,</w:t>
      </w:r>
      <w:r w:rsidRPr="00C605D8">
        <w:rPr>
          <w:rFonts w:cs="Arial"/>
          <w:b/>
          <w:szCs w:val="24"/>
        </w:rPr>
        <w:t xml:space="preserve"> a to jak na regionální (mezikrajské, meziokresní), tak na lokální úrovni (mezi obcemi) související s problémy dopravní dostupnost</w:t>
      </w:r>
      <w:r w:rsidR="00AA7A14" w:rsidRPr="00C605D8">
        <w:rPr>
          <w:rFonts w:cs="Arial"/>
          <w:b/>
          <w:szCs w:val="24"/>
        </w:rPr>
        <w:t>i</w:t>
      </w:r>
      <w:r w:rsidRPr="00C605D8">
        <w:rPr>
          <w:rFonts w:cs="Arial"/>
          <w:b/>
          <w:szCs w:val="24"/>
        </w:rPr>
        <w:t xml:space="preserve"> a nákladovosti dojížďky zejména u nízkopříjmových skupin.</w:t>
      </w:r>
    </w:p>
    <w:p w:rsidR="008D200F" w:rsidRPr="00C605D8" w:rsidRDefault="008D200F" w:rsidP="008D41BF">
      <w:pPr>
        <w:spacing w:before="120" w:line="240" w:lineRule="auto"/>
        <w:rPr>
          <w:rFonts w:cs="Arial"/>
          <w:b/>
          <w:szCs w:val="24"/>
        </w:rPr>
      </w:pPr>
    </w:p>
    <w:p w:rsidR="0089103B" w:rsidRPr="00C605D8" w:rsidRDefault="0089103B" w:rsidP="008D41BF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lastRenderedPageBreak/>
        <w:t>Kvalifikace a vzdělání</w:t>
      </w:r>
    </w:p>
    <w:p w:rsidR="0089103B" w:rsidRPr="00C605D8" w:rsidRDefault="0089103B" w:rsidP="008D41BF">
      <w:pPr>
        <w:spacing w:before="120" w:line="240" w:lineRule="auto"/>
        <w:ind w:left="708"/>
        <w:rPr>
          <w:rFonts w:cs="Arial"/>
          <w:szCs w:val="24"/>
        </w:rPr>
      </w:pPr>
      <w:r w:rsidRPr="00C605D8">
        <w:rPr>
          <w:rFonts w:cs="Arial"/>
          <w:szCs w:val="24"/>
        </w:rPr>
        <w:t>Vysoké procento uchazečů o zaměstnání, kterým se nedaří dlouhodobě zprostředkovat zaměstnání</w:t>
      </w:r>
      <w:r w:rsidR="00C175E1" w:rsidRPr="00C605D8">
        <w:rPr>
          <w:rFonts w:cs="Arial"/>
          <w:szCs w:val="24"/>
        </w:rPr>
        <w:t>,</w:t>
      </w:r>
      <w:r w:rsidRPr="00C605D8">
        <w:rPr>
          <w:rFonts w:cs="Arial"/>
          <w:szCs w:val="24"/>
        </w:rPr>
        <w:t xml:space="preserve"> má </w:t>
      </w:r>
      <w:r w:rsidRPr="00C605D8">
        <w:rPr>
          <w:rFonts w:cs="Arial"/>
          <w:b/>
          <w:szCs w:val="24"/>
        </w:rPr>
        <w:t>nízkou úroveň kvalifikace</w:t>
      </w:r>
      <w:r w:rsidRPr="00C605D8">
        <w:rPr>
          <w:rFonts w:cs="Arial"/>
          <w:szCs w:val="24"/>
        </w:rPr>
        <w:t xml:space="preserve"> (nejvýše dosažené základní vzdělání), </w:t>
      </w:r>
      <w:r w:rsidRPr="00C605D8">
        <w:rPr>
          <w:rFonts w:cs="Arial"/>
          <w:b/>
          <w:szCs w:val="24"/>
        </w:rPr>
        <w:t>popřípadě jejich dříve získaná kvalifikace již neodpovídá soudobým požadavkům trhu práce</w:t>
      </w:r>
      <w:r w:rsidRPr="00C605D8">
        <w:rPr>
          <w:rFonts w:cs="Arial"/>
          <w:szCs w:val="24"/>
        </w:rPr>
        <w:t xml:space="preserve">. Situaci se nedaří optimálně řešit ani prostřednictvím rekvalifikačních kurzů, jejichž realizace je v podmínkách současného zákona o veřejných zakázkách neflexibilní (ÚP ČR není schopen </w:t>
      </w:r>
      <w:r w:rsidR="00CA6F34" w:rsidRPr="00C605D8">
        <w:rPr>
          <w:rFonts w:cs="Arial"/>
          <w:szCs w:val="24"/>
        </w:rPr>
        <w:t xml:space="preserve">pružně </w:t>
      </w:r>
      <w:r w:rsidRPr="00C605D8">
        <w:rPr>
          <w:rFonts w:cs="Arial"/>
          <w:szCs w:val="24"/>
        </w:rPr>
        <w:t xml:space="preserve">reagovat na poptávku zaměstnavatelů v dostatečně krátkém čase), což determinuje úroveň vzdělávacích rekvalifikačních kurzů spíše na obecně využitelné dovednosti. </w:t>
      </w:r>
      <w:r w:rsidR="00C26B21" w:rsidRPr="00C605D8">
        <w:rPr>
          <w:rFonts w:cs="Arial"/>
          <w:szCs w:val="24"/>
        </w:rPr>
        <w:t xml:space="preserve">Problém se nedaří řešit ani prostřednictvím tzv. zvolených rekvalifikací. </w:t>
      </w:r>
      <w:r w:rsidRPr="00C605D8">
        <w:rPr>
          <w:rFonts w:cs="Arial"/>
          <w:szCs w:val="24"/>
        </w:rPr>
        <w:t xml:space="preserve">Jako problematická se jeví rovněž kvalita rekvalifikačních kurzů </w:t>
      </w:r>
      <w:r w:rsidR="00CB04A0" w:rsidRPr="00C605D8">
        <w:rPr>
          <w:rFonts w:cs="Arial"/>
          <w:szCs w:val="24"/>
        </w:rPr>
        <w:t>spojená zejména s kritériem nejnižší ceny ve výběrových řízeních</w:t>
      </w:r>
      <w:r w:rsidR="00AA7A14" w:rsidRPr="00C605D8">
        <w:rPr>
          <w:rFonts w:cs="Arial"/>
          <w:szCs w:val="24"/>
        </w:rPr>
        <w:t>,</w:t>
      </w:r>
      <w:r w:rsidR="00CB04A0" w:rsidRPr="00C605D8">
        <w:rPr>
          <w:rFonts w:cs="Arial"/>
          <w:szCs w:val="24"/>
        </w:rPr>
        <w:t xml:space="preserve"> a skutečnost, že rekvalifikační kurzy nezabezpečují účastníkům získání dostatečných praktických dovedností požadovaných zaměstnavateli.</w:t>
      </w:r>
      <w:r w:rsidRPr="00C605D8">
        <w:rPr>
          <w:rFonts w:cs="Arial"/>
          <w:szCs w:val="24"/>
        </w:rPr>
        <w:t xml:space="preserve"> Na tento jev často poukazují zejména zaměstnavatelé nemající dostatečnou důvěru v kvalitu rekvalifikačních kurzů zabezpečovaných ze strany ÚP ČR.</w:t>
      </w:r>
    </w:p>
    <w:p w:rsidR="00DF47B1" w:rsidRPr="00C605D8" w:rsidRDefault="0089103B" w:rsidP="008D41BF">
      <w:pPr>
        <w:spacing w:before="120" w:line="240" w:lineRule="auto"/>
        <w:ind w:left="708"/>
        <w:rPr>
          <w:rFonts w:cs="Arial"/>
          <w:szCs w:val="24"/>
        </w:rPr>
      </w:pPr>
      <w:r w:rsidRPr="00C605D8">
        <w:rPr>
          <w:rFonts w:cs="Arial"/>
          <w:szCs w:val="24"/>
        </w:rPr>
        <w:t xml:space="preserve">Výrazná disparita se objevuje zejména </w:t>
      </w:r>
      <w:r w:rsidRPr="00C605D8">
        <w:rPr>
          <w:rFonts w:cs="Arial"/>
          <w:b/>
          <w:szCs w:val="24"/>
        </w:rPr>
        <w:t xml:space="preserve">v oblasti </w:t>
      </w:r>
      <w:r w:rsidR="00DF47B1" w:rsidRPr="00C605D8">
        <w:rPr>
          <w:rFonts w:cs="Arial"/>
          <w:b/>
          <w:szCs w:val="24"/>
        </w:rPr>
        <w:t>technických oborů, kde v souvislosti s demografickým vývojem a mezigenerační výměnou pracovní síly je znatelný nedostatek kvalifikované pracovní síly odpovídající soudobým potřebám trhu práce.</w:t>
      </w:r>
      <w:r w:rsidR="00DF47B1" w:rsidRPr="00C605D8">
        <w:rPr>
          <w:rFonts w:cs="Arial"/>
          <w:szCs w:val="24"/>
        </w:rPr>
        <w:t xml:space="preserve"> Tento nedostatek nelze uspokojivě vyřešit prostřednictvím rekvalifikačních kurzů, neboť potřebné základy pro vybudování personálních kapacit v technických oborech je nutné položit již v systému počátečního vzdělávání.</w:t>
      </w:r>
    </w:p>
    <w:p w:rsidR="00DF47B1" w:rsidRPr="00C605D8" w:rsidRDefault="00DF47B1" w:rsidP="008D41BF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b/>
          <w:szCs w:val="24"/>
        </w:rPr>
      </w:pPr>
      <w:r w:rsidRPr="00C605D8">
        <w:rPr>
          <w:rFonts w:cs="Arial"/>
          <w:b/>
          <w:i/>
          <w:szCs w:val="24"/>
        </w:rPr>
        <w:t>Pracovní podmínky</w:t>
      </w:r>
      <w:r w:rsidR="00205D3B" w:rsidRPr="00C605D8">
        <w:rPr>
          <w:rFonts w:cs="Arial"/>
          <w:b/>
          <w:i/>
          <w:szCs w:val="24"/>
        </w:rPr>
        <w:t xml:space="preserve"> a odměňování</w:t>
      </w:r>
    </w:p>
    <w:p w:rsidR="00DF47B1" w:rsidRPr="00C605D8" w:rsidRDefault="00DF47B1" w:rsidP="008D41BF">
      <w:pPr>
        <w:spacing w:before="120" w:line="240" w:lineRule="auto"/>
        <w:ind w:left="708"/>
        <w:rPr>
          <w:rFonts w:cs="Arial"/>
          <w:szCs w:val="24"/>
        </w:rPr>
      </w:pPr>
      <w:r w:rsidRPr="00C605D8">
        <w:rPr>
          <w:rFonts w:cs="Arial"/>
          <w:szCs w:val="24"/>
        </w:rPr>
        <w:t xml:space="preserve">V této skupině vyvstávají </w:t>
      </w:r>
      <w:r w:rsidRPr="00C605D8">
        <w:rPr>
          <w:rFonts w:cs="Arial"/>
          <w:b/>
          <w:szCs w:val="24"/>
        </w:rPr>
        <w:t>problémy zejména v oblasti odměňování za vykonanou práci za stanovených podmínek</w:t>
      </w:r>
      <w:r w:rsidRPr="00C605D8">
        <w:rPr>
          <w:rFonts w:cs="Arial"/>
          <w:szCs w:val="24"/>
        </w:rPr>
        <w:t xml:space="preserve"> (jak podmínky pracovní, dojížďka, ale i vzájemná synergie mezi sociálním systémem a trhem práce), oblast agenturního zaměstnávání a formy pracovně-právních vztahů.</w:t>
      </w:r>
    </w:p>
    <w:p w:rsidR="00DF47B1" w:rsidRPr="00C605D8" w:rsidRDefault="00DF47B1" w:rsidP="008D41BF">
      <w:pPr>
        <w:spacing w:before="120" w:line="240" w:lineRule="auto"/>
        <w:ind w:left="708"/>
        <w:rPr>
          <w:rFonts w:cs="Arial"/>
          <w:szCs w:val="24"/>
        </w:rPr>
      </w:pPr>
      <w:r w:rsidRPr="00C605D8">
        <w:rPr>
          <w:rFonts w:cs="Arial"/>
          <w:szCs w:val="24"/>
        </w:rPr>
        <w:t xml:space="preserve">Nejvýrazněji se tato skupina problémů projevuje zejména u profesí s požadavky na nízkou kvalifikaci a tedy i profesí vykonávaných za nízkou finanční odměnu. Výše odměny tak zpravidla není schopna saturovat v porovnání se sociálním příjmem dodatečné náklady zaměstnanců souvisejících s akceptací zaměstnání, jako jsou náklady na dojížďku či náklady nutné k zajištění péče o dítě. </w:t>
      </w:r>
      <w:r w:rsidRPr="00C605D8">
        <w:rPr>
          <w:rFonts w:cs="Arial"/>
          <w:b/>
          <w:szCs w:val="24"/>
        </w:rPr>
        <w:t>Problematický je přechod mezi dávkovým systém a zaměstnáním, kdy nízká úroveň mezd není dostatečně motivační k vyvázání se ze závislosti na sociálním příjmu</w:t>
      </w:r>
      <w:r w:rsidRPr="00C605D8">
        <w:rPr>
          <w:rFonts w:cs="Arial"/>
          <w:szCs w:val="24"/>
        </w:rPr>
        <w:t xml:space="preserve">. Problematické z tohoto pohledu jsou i pracovní podmínky, zejména směnnost provozu, nabízené formy pracovně-právních vztahů nezakládající pracovní síle dostatečnou jistotu na trhu práce atd. Tyto problémy však vyplývají z charakteru poptávaných prací vysoce závislých na výši zakázek zaměstnavatelů a tedy i nutnosti flexibilně reagovat na hospodářské výkyvy. Důsledkem je pak </w:t>
      </w:r>
      <w:r w:rsidRPr="00C605D8">
        <w:rPr>
          <w:rFonts w:cs="Arial"/>
          <w:b/>
          <w:szCs w:val="24"/>
        </w:rPr>
        <w:t>využívání agenturního zaměstnávání</w:t>
      </w:r>
      <w:r w:rsidR="000724B4">
        <w:rPr>
          <w:rFonts w:cs="Arial"/>
          <w:b/>
          <w:szCs w:val="24"/>
        </w:rPr>
        <w:t>, které na jedné straně zvyšuje flexibilitu zaměstnavatelů</w:t>
      </w:r>
      <w:r w:rsidR="000724B4">
        <w:rPr>
          <w:rFonts w:cs="Arial"/>
          <w:szCs w:val="24"/>
        </w:rPr>
        <w:t xml:space="preserve"> (a tedy i trhu práce)</w:t>
      </w:r>
      <w:r w:rsidR="000724B4">
        <w:rPr>
          <w:rFonts w:cs="Arial"/>
          <w:b/>
          <w:szCs w:val="24"/>
        </w:rPr>
        <w:t>, na straně druhé</w:t>
      </w:r>
      <w:r w:rsidRPr="00C605D8">
        <w:rPr>
          <w:rFonts w:cs="Arial"/>
          <w:b/>
          <w:szCs w:val="24"/>
        </w:rPr>
        <w:t xml:space="preserve"> ved</w:t>
      </w:r>
      <w:r w:rsidR="000724B4">
        <w:rPr>
          <w:rFonts w:cs="Arial"/>
          <w:b/>
          <w:szCs w:val="24"/>
        </w:rPr>
        <w:t>e</w:t>
      </w:r>
      <w:r w:rsidRPr="00C605D8">
        <w:rPr>
          <w:rFonts w:cs="Arial"/>
          <w:b/>
          <w:szCs w:val="24"/>
        </w:rPr>
        <w:t xml:space="preserve"> ke ztrátě personální odpovědnosti zaměstnavatelů</w:t>
      </w:r>
      <w:r w:rsidR="001A4A7D">
        <w:rPr>
          <w:rFonts w:cs="Arial"/>
          <w:b/>
          <w:szCs w:val="24"/>
        </w:rPr>
        <w:t xml:space="preserve"> a </w:t>
      </w:r>
      <w:r w:rsidR="007B7697">
        <w:rPr>
          <w:rFonts w:cs="Arial"/>
          <w:b/>
          <w:szCs w:val="24"/>
        </w:rPr>
        <w:t>neadekvátního postavení agenturních zaměstnanců na trhu práce</w:t>
      </w:r>
      <w:r w:rsidRPr="00C605D8">
        <w:rPr>
          <w:rFonts w:cs="Arial"/>
          <w:szCs w:val="24"/>
        </w:rPr>
        <w:t>.</w:t>
      </w:r>
      <w:r w:rsidR="00205D3B" w:rsidRPr="00C605D8">
        <w:rPr>
          <w:rFonts w:cs="Arial"/>
          <w:szCs w:val="24"/>
        </w:rPr>
        <w:t xml:space="preserve"> Agenturní zaměstnanci jsou taktéž mnohdy zaměstnáni mimo pracovní poměr, což způsobuje výraznou fluktuaci.</w:t>
      </w:r>
    </w:p>
    <w:p w:rsidR="006B14CE" w:rsidRPr="00C605D8" w:rsidRDefault="006B14CE" w:rsidP="008D41BF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lastRenderedPageBreak/>
        <w:t>Exekuce</w:t>
      </w:r>
    </w:p>
    <w:p w:rsidR="006B14CE" w:rsidRPr="00C605D8" w:rsidRDefault="006B14CE" w:rsidP="008D41BF">
      <w:pPr>
        <w:spacing w:before="120" w:line="240" w:lineRule="auto"/>
        <w:ind w:left="708"/>
        <w:rPr>
          <w:rFonts w:cs="Arial"/>
          <w:szCs w:val="24"/>
        </w:rPr>
      </w:pPr>
      <w:r w:rsidRPr="00C605D8">
        <w:rPr>
          <w:rFonts w:cs="Arial"/>
          <w:szCs w:val="24"/>
        </w:rPr>
        <w:t xml:space="preserve">U některých skupin uchazečů o zaměstnání je výrazným faktorem snižujícím jejich motivaci k přijetí zaměstnání problematika </w:t>
      </w:r>
      <w:r w:rsidR="00CC15DF">
        <w:rPr>
          <w:rFonts w:cs="Arial"/>
          <w:b/>
          <w:szCs w:val="24"/>
        </w:rPr>
        <w:t>exekucí a využívání tzv. </w:t>
      </w:r>
      <w:r w:rsidR="00DF47B1" w:rsidRPr="00C605D8">
        <w:rPr>
          <w:rFonts w:cs="Arial"/>
          <w:b/>
          <w:szCs w:val="24"/>
        </w:rPr>
        <w:t>nekolidujícího zaměstnání</w:t>
      </w:r>
      <w:r w:rsidR="00DF47B1" w:rsidRPr="00C605D8">
        <w:rPr>
          <w:rFonts w:cs="Arial"/>
          <w:szCs w:val="24"/>
        </w:rPr>
        <w:t>. V případě exekucí existují bariéry zejména na straně pracovní síly, které z obavy před exekučními srážkami ze mzdy nevyhledává legální výkon práce</w:t>
      </w:r>
      <w:r w:rsidR="00410C85" w:rsidRPr="00C605D8">
        <w:rPr>
          <w:rFonts w:cs="Arial"/>
          <w:szCs w:val="24"/>
        </w:rPr>
        <w:t>. Na straně zaměstnavatelů pak nutnost provádět exekuční srážky ze mzdy přispívá k</w:t>
      </w:r>
      <w:r w:rsidR="00F65933" w:rsidRPr="00C605D8">
        <w:rPr>
          <w:rFonts w:cs="Arial"/>
          <w:szCs w:val="24"/>
        </w:rPr>
        <w:t> vyšší administrativní zátěži a </w:t>
      </w:r>
      <w:r w:rsidR="00410C85" w:rsidRPr="00C605D8">
        <w:rPr>
          <w:rFonts w:cs="Arial"/>
          <w:szCs w:val="24"/>
        </w:rPr>
        <w:t xml:space="preserve">rovněž ke stigmatizaci potenciálního zaměstnance podléhajícího exekučním srážkám jako k nespolehlivému zaměstnanci. </w:t>
      </w:r>
    </w:p>
    <w:p w:rsidR="006B14CE" w:rsidRPr="00C605D8" w:rsidRDefault="006B14CE" w:rsidP="008D41BF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szCs w:val="24"/>
        </w:rPr>
      </w:pPr>
      <w:r w:rsidRPr="00C605D8">
        <w:rPr>
          <w:rFonts w:cs="Arial"/>
          <w:b/>
          <w:i/>
          <w:szCs w:val="24"/>
        </w:rPr>
        <w:t>Nekolidující zaměstnání</w:t>
      </w:r>
    </w:p>
    <w:p w:rsidR="00DF47B1" w:rsidRPr="00C605D8" w:rsidRDefault="00410C85" w:rsidP="008D41BF">
      <w:pPr>
        <w:spacing w:before="120" w:line="240" w:lineRule="auto"/>
        <w:ind w:left="708"/>
        <w:rPr>
          <w:rFonts w:cs="Arial"/>
          <w:szCs w:val="24"/>
        </w:rPr>
      </w:pPr>
      <w:r w:rsidRPr="00C605D8">
        <w:rPr>
          <w:rFonts w:cs="Arial"/>
          <w:szCs w:val="24"/>
        </w:rPr>
        <w:t>Výkon (neregulovaného) nekolidujícího zaměstnání</w:t>
      </w:r>
      <w:r w:rsidR="006B14CE" w:rsidRPr="00C605D8">
        <w:rPr>
          <w:rFonts w:cs="Arial"/>
          <w:szCs w:val="24"/>
        </w:rPr>
        <w:t>, podle § 25 odst. 3 zákona č. 435/2004 Sb., zákona o zaměstnanosti, ve znění pozdějších předpisů</w:t>
      </w:r>
      <w:r w:rsidRPr="00C605D8">
        <w:rPr>
          <w:rFonts w:cs="Arial"/>
          <w:szCs w:val="24"/>
        </w:rPr>
        <w:t xml:space="preserve">, využívaný zejména ve skupině povolání </w:t>
      </w:r>
      <w:r w:rsidRPr="00C605D8">
        <w:rPr>
          <w:rFonts w:cs="Arial"/>
          <w:i/>
          <w:szCs w:val="24"/>
        </w:rPr>
        <w:t>prodavači a příbuzní pracovníci v</w:t>
      </w:r>
      <w:r w:rsidR="00AA7A14" w:rsidRPr="00C605D8">
        <w:rPr>
          <w:rFonts w:cs="Arial"/>
          <w:i/>
          <w:szCs w:val="24"/>
        </w:rPr>
        <w:t> </w:t>
      </w:r>
      <w:r w:rsidRPr="00C605D8">
        <w:rPr>
          <w:rFonts w:cs="Arial"/>
          <w:i/>
          <w:szCs w:val="24"/>
        </w:rPr>
        <w:t>prodeji</w:t>
      </w:r>
      <w:r w:rsidR="00AA7A14" w:rsidRPr="00C605D8">
        <w:rPr>
          <w:rFonts w:cs="Arial"/>
          <w:i/>
          <w:szCs w:val="24"/>
        </w:rPr>
        <w:t>,</w:t>
      </w:r>
      <w:r w:rsidRPr="00C605D8">
        <w:rPr>
          <w:rFonts w:cs="Arial"/>
          <w:szCs w:val="24"/>
        </w:rPr>
        <w:t xml:space="preserve"> vytváří bariéru jak na straně zaměstnavatele, </w:t>
      </w:r>
      <w:r w:rsidR="00056D3E">
        <w:rPr>
          <w:rFonts w:cs="Arial"/>
          <w:szCs w:val="24"/>
        </w:rPr>
        <w:t>ta</w:t>
      </w:r>
      <w:r w:rsidR="00E778E5">
        <w:rPr>
          <w:rFonts w:cs="Arial"/>
          <w:szCs w:val="24"/>
        </w:rPr>
        <w:t>k</w:t>
      </w:r>
      <w:r w:rsidR="00056D3E">
        <w:rPr>
          <w:rFonts w:cs="Arial"/>
          <w:szCs w:val="24"/>
        </w:rPr>
        <w:t xml:space="preserve"> zaměstnance. P</w:t>
      </w:r>
      <w:r w:rsidRPr="00C605D8">
        <w:rPr>
          <w:rFonts w:cs="Arial"/>
          <w:szCs w:val="24"/>
        </w:rPr>
        <w:t xml:space="preserve">ro </w:t>
      </w:r>
      <w:r w:rsidR="00056D3E">
        <w:rPr>
          <w:rFonts w:cs="Arial"/>
          <w:szCs w:val="24"/>
        </w:rPr>
        <w:t>zaměstnavatele</w:t>
      </w:r>
      <w:r w:rsidR="00056D3E" w:rsidRPr="00C605D8">
        <w:rPr>
          <w:rFonts w:cs="Arial"/>
          <w:szCs w:val="24"/>
        </w:rPr>
        <w:t xml:space="preserve"> </w:t>
      </w:r>
      <w:r w:rsidRPr="00C605D8">
        <w:rPr>
          <w:rFonts w:cs="Arial"/>
          <w:szCs w:val="24"/>
        </w:rPr>
        <w:t>je zaměstnání osoby na nekolidujícím zaměstnání z důvodu jejího souběžného vedení v evidenci uchazeče o zaměstnání výhodn</w:t>
      </w:r>
      <w:r w:rsidR="00392FA5" w:rsidRPr="00C605D8">
        <w:rPr>
          <w:rFonts w:cs="Arial"/>
          <w:szCs w:val="24"/>
        </w:rPr>
        <w:t>é</w:t>
      </w:r>
      <w:r w:rsidRPr="00C605D8">
        <w:rPr>
          <w:rFonts w:cs="Arial"/>
          <w:szCs w:val="24"/>
        </w:rPr>
        <w:t xml:space="preserve"> zejména z ekonomických i</w:t>
      </w:r>
      <w:r w:rsidR="0000359B" w:rsidRPr="00C605D8">
        <w:rPr>
          <w:rFonts w:cs="Arial"/>
          <w:szCs w:val="24"/>
        </w:rPr>
        <w:t> </w:t>
      </w:r>
      <w:r w:rsidRPr="00C605D8">
        <w:rPr>
          <w:rFonts w:cs="Arial"/>
          <w:szCs w:val="24"/>
        </w:rPr>
        <w:t xml:space="preserve">administrativních důvodů. Na straně zaměstnance pak </w:t>
      </w:r>
      <w:r w:rsidR="006B14CE" w:rsidRPr="00C605D8">
        <w:rPr>
          <w:rFonts w:cs="Arial"/>
          <w:szCs w:val="24"/>
        </w:rPr>
        <w:t>dlouhodobý výkon nekolidujícího zaměstnání zvyšuje</w:t>
      </w:r>
      <w:r w:rsidRPr="00C605D8">
        <w:rPr>
          <w:rFonts w:cs="Arial"/>
          <w:szCs w:val="24"/>
        </w:rPr>
        <w:t xml:space="preserve"> demotivac</w:t>
      </w:r>
      <w:r w:rsidR="006B14CE" w:rsidRPr="00C605D8">
        <w:rPr>
          <w:rFonts w:cs="Arial"/>
          <w:szCs w:val="24"/>
        </w:rPr>
        <w:t>i</w:t>
      </w:r>
      <w:r w:rsidRPr="00C605D8">
        <w:rPr>
          <w:rFonts w:cs="Arial"/>
          <w:szCs w:val="24"/>
        </w:rPr>
        <w:t xml:space="preserve"> hledat jiné pracovní uplatnění</w:t>
      </w:r>
      <w:r w:rsidR="00AA7A14" w:rsidRPr="00C605D8">
        <w:rPr>
          <w:rFonts w:cs="Arial"/>
          <w:szCs w:val="24"/>
        </w:rPr>
        <w:t>,</w:t>
      </w:r>
      <w:r w:rsidR="006B14CE" w:rsidRPr="00C605D8">
        <w:rPr>
          <w:rFonts w:cs="Arial"/>
          <w:szCs w:val="24"/>
        </w:rPr>
        <w:t xml:space="preserve"> a</w:t>
      </w:r>
      <w:r w:rsidR="0000359B" w:rsidRPr="00C605D8">
        <w:rPr>
          <w:rFonts w:cs="Arial"/>
          <w:szCs w:val="24"/>
        </w:rPr>
        <w:t> </w:t>
      </w:r>
      <w:r w:rsidR="006B14CE" w:rsidRPr="00C605D8">
        <w:rPr>
          <w:rFonts w:cs="Arial"/>
          <w:szCs w:val="24"/>
        </w:rPr>
        <w:t>to zejména ve spojitosti s dalšími faktory (viz např. výše uvedené exekuční srážky)</w:t>
      </w:r>
      <w:r w:rsidRPr="00C605D8">
        <w:rPr>
          <w:rFonts w:cs="Arial"/>
          <w:szCs w:val="24"/>
        </w:rPr>
        <w:t>.</w:t>
      </w:r>
      <w:r w:rsidR="006B14CE" w:rsidRPr="00C605D8">
        <w:rPr>
          <w:rFonts w:cs="Arial"/>
          <w:szCs w:val="24"/>
        </w:rPr>
        <w:t xml:space="preserve"> Výkon neregulovaného nekolidujícího zaměstnání vytváří podmínky pro výkon nelegální práce (část mzdy, která je nad rámec pravidel nekolidujícího zaměstnání může být zaměstnanci vyplácena tzv. </w:t>
      </w:r>
      <w:r w:rsidR="0000359B" w:rsidRPr="00C605D8">
        <w:rPr>
          <w:rFonts w:cs="Arial"/>
          <w:szCs w:val="24"/>
        </w:rPr>
        <w:t>„</w:t>
      </w:r>
      <w:r w:rsidR="006B14CE" w:rsidRPr="00C605D8">
        <w:rPr>
          <w:rFonts w:cs="Arial"/>
          <w:szCs w:val="24"/>
        </w:rPr>
        <w:t>na r</w:t>
      </w:r>
      <w:r w:rsidR="0000359B" w:rsidRPr="00C605D8">
        <w:rPr>
          <w:rFonts w:cs="Arial"/>
          <w:szCs w:val="24"/>
        </w:rPr>
        <w:t>u</w:t>
      </w:r>
      <w:r w:rsidR="006B14CE" w:rsidRPr="00C605D8">
        <w:rPr>
          <w:rFonts w:cs="Arial"/>
          <w:szCs w:val="24"/>
        </w:rPr>
        <w:t>ku</w:t>
      </w:r>
      <w:r w:rsidR="0000359B" w:rsidRPr="00C605D8">
        <w:rPr>
          <w:rFonts w:cs="Arial"/>
          <w:szCs w:val="24"/>
        </w:rPr>
        <w:t>“</w:t>
      </w:r>
      <w:r w:rsidR="00F65933" w:rsidRPr="00C605D8">
        <w:rPr>
          <w:rFonts w:cs="Arial"/>
          <w:szCs w:val="24"/>
        </w:rPr>
        <w:t xml:space="preserve"> a </w:t>
      </w:r>
      <w:r w:rsidR="006B14CE" w:rsidRPr="00C605D8">
        <w:rPr>
          <w:rFonts w:cs="Arial"/>
          <w:szCs w:val="24"/>
        </w:rPr>
        <w:t>plně tak nahrazovat standardní pracovní činnost, resp. pracovní poměr).</w:t>
      </w:r>
    </w:p>
    <w:p w:rsidR="00410C85" w:rsidRPr="00C605D8" w:rsidRDefault="00410C85" w:rsidP="008D41BF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b/>
          <w:szCs w:val="24"/>
        </w:rPr>
      </w:pPr>
      <w:r w:rsidRPr="00C605D8">
        <w:rPr>
          <w:rFonts w:cs="Arial"/>
          <w:b/>
          <w:i/>
          <w:szCs w:val="24"/>
        </w:rPr>
        <w:t xml:space="preserve">Zdravotní </w:t>
      </w:r>
      <w:r w:rsidR="00C175E1" w:rsidRPr="00C605D8">
        <w:rPr>
          <w:rFonts w:cs="Arial"/>
          <w:b/>
          <w:i/>
          <w:szCs w:val="24"/>
        </w:rPr>
        <w:t>stav</w:t>
      </w:r>
    </w:p>
    <w:p w:rsidR="00410C85" w:rsidRPr="00C605D8" w:rsidRDefault="00410C85" w:rsidP="008D41BF">
      <w:pPr>
        <w:spacing w:before="120" w:line="240" w:lineRule="auto"/>
        <w:ind w:left="708"/>
        <w:rPr>
          <w:rFonts w:cs="Arial"/>
          <w:szCs w:val="24"/>
        </w:rPr>
      </w:pPr>
      <w:r w:rsidRPr="00C605D8">
        <w:rPr>
          <w:rFonts w:cs="Arial"/>
          <w:b/>
          <w:szCs w:val="24"/>
        </w:rPr>
        <w:t>Zdravotní stav bývá objektivní bariérou bránící osobě ve vstupu na trh práce</w:t>
      </w:r>
      <w:r w:rsidR="00AA7A14" w:rsidRPr="00C605D8">
        <w:rPr>
          <w:rFonts w:cs="Arial"/>
          <w:b/>
          <w:szCs w:val="24"/>
        </w:rPr>
        <w:t>,</w:t>
      </w:r>
      <w:r w:rsidRPr="00C605D8">
        <w:rPr>
          <w:rFonts w:cs="Arial"/>
          <w:szCs w:val="24"/>
        </w:rPr>
        <w:t xml:space="preserve"> a to i v případě, kdy splňuje kvalifikační požadavky zaměstnavatele. Důvody jsou jak objektivní – nemožnost s ohledem na zdravotní stav vykonávat příslušné povolání, tak subjektivní – zejména obava z výkonnosti osob se zdravotním postižením na straně zaměstnavatelů, ale i zaměstnanců. Z výše uvedeného rozboru vyplývá, že zásadní disproporce spočívá v oblasti skupiny povolání v oblasti </w:t>
      </w:r>
      <w:r w:rsidRPr="00C605D8">
        <w:rPr>
          <w:rFonts w:cs="Arial"/>
          <w:i/>
          <w:szCs w:val="24"/>
        </w:rPr>
        <w:t>Pracovníci v oblasti ochrany a ostrahy</w:t>
      </w:r>
      <w:r w:rsidRPr="00C605D8">
        <w:rPr>
          <w:rFonts w:cs="Arial"/>
          <w:szCs w:val="24"/>
        </w:rPr>
        <w:t xml:space="preserve">, kde </w:t>
      </w:r>
      <w:r w:rsidR="0044013B" w:rsidRPr="00C605D8">
        <w:rPr>
          <w:rFonts w:cs="Arial"/>
          <w:szCs w:val="24"/>
        </w:rPr>
        <w:t xml:space="preserve">zaměstnavatelé preferují osoby se zdravotním postižením. Uvedená povolání však mohou vykonávat pouze některé skupiny osob se zdravotním postižením a aktuální nabídka pracovní síly proto není schopna zvýšenou poptávku saturovat. </w:t>
      </w:r>
    </w:p>
    <w:p w:rsidR="00205D3B" w:rsidRPr="00C605D8" w:rsidRDefault="00205D3B" w:rsidP="008D41BF">
      <w:pPr>
        <w:spacing w:before="120" w:line="240" w:lineRule="auto"/>
        <w:ind w:left="708"/>
        <w:rPr>
          <w:rFonts w:cs="Arial"/>
          <w:szCs w:val="24"/>
        </w:rPr>
      </w:pPr>
      <w:r w:rsidRPr="00C605D8">
        <w:rPr>
          <w:rFonts w:cs="Arial"/>
          <w:b/>
          <w:szCs w:val="24"/>
        </w:rPr>
        <w:t>Uchazeči často dokládají, že jejich zdravotní stav neodpovídá požadavkům na nabízenou pracovní pozici. Velmi významnou roli zde sehrává nemožnost kontroly lékařů, vydávajících předmětné doklady</w:t>
      </w:r>
      <w:r w:rsidRPr="00C605D8">
        <w:rPr>
          <w:rFonts w:cs="Arial"/>
          <w:szCs w:val="24"/>
        </w:rPr>
        <w:t>. Uchazeči nad 50 let věku vzhledem ke svému zdravotnímu stavu odmítají manuální a jinak fyzicky náročné pracovní nabídky.</w:t>
      </w:r>
    </w:p>
    <w:p w:rsidR="00C175E1" w:rsidRPr="00C605D8" w:rsidRDefault="00C175E1" w:rsidP="008D41BF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b/>
          <w:szCs w:val="24"/>
        </w:rPr>
      </w:pPr>
      <w:r w:rsidRPr="00C605D8">
        <w:rPr>
          <w:rFonts w:cs="Arial"/>
          <w:b/>
          <w:i/>
          <w:szCs w:val="24"/>
        </w:rPr>
        <w:t>Regionální disproporce</w:t>
      </w:r>
    </w:p>
    <w:p w:rsidR="00F216F9" w:rsidRDefault="00C175E1" w:rsidP="008D41BF">
      <w:pPr>
        <w:spacing w:before="120" w:line="240" w:lineRule="auto"/>
        <w:ind w:left="708"/>
        <w:rPr>
          <w:rFonts w:cs="Arial"/>
          <w:szCs w:val="24"/>
        </w:rPr>
      </w:pPr>
      <w:r w:rsidRPr="00C605D8">
        <w:rPr>
          <w:rFonts w:cs="Arial"/>
          <w:szCs w:val="24"/>
        </w:rPr>
        <w:t xml:space="preserve">Jedním z výrazných aspektů ovlivňujících fungování trhu práce jsou regionální disproporce mezi nabídkou a poptávkou po pracovní síle a </w:t>
      </w:r>
      <w:r w:rsidRPr="00C605D8">
        <w:rPr>
          <w:rFonts w:cs="Arial"/>
          <w:b/>
          <w:szCs w:val="24"/>
        </w:rPr>
        <w:t>nízká regionální mobilita pracovní síly.</w:t>
      </w:r>
      <w:r w:rsidRPr="00C605D8">
        <w:rPr>
          <w:rFonts w:cs="Arial"/>
          <w:szCs w:val="24"/>
        </w:rPr>
        <w:t xml:space="preserve"> Ta je spojená jak s neochotou pracovníků stěhovat se za prací (zejména na úrovni mezikrajské), tak ale i s neochotou dojíždět do zaměstnání buďto v rámci okresu či na meziokresní úrovni. Důvody jsou jak </w:t>
      </w:r>
      <w:r w:rsidRPr="00C605D8">
        <w:rPr>
          <w:rFonts w:cs="Arial"/>
          <w:szCs w:val="24"/>
        </w:rPr>
        <w:lastRenderedPageBreak/>
        <w:t xml:space="preserve">časové, tak zejména v případě nízkopříjmových skupin povolání, kde je disproporce mezi nabídkou a poptávkou markantní, důvody ekonomické. </w:t>
      </w:r>
      <w:r w:rsidR="00F049EE" w:rsidRPr="00C605D8">
        <w:rPr>
          <w:rFonts w:cs="Arial"/>
          <w:szCs w:val="24"/>
        </w:rPr>
        <w:t>Regionální disproporce mezi nabídkou a poptávkou</w:t>
      </w:r>
      <w:r w:rsidRPr="00C605D8">
        <w:rPr>
          <w:rFonts w:cs="Arial"/>
          <w:szCs w:val="24"/>
        </w:rPr>
        <w:t xml:space="preserve"> pak v periferních regionech může </w:t>
      </w:r>
      <w:r w:rsidR="00F049EE" w:rsidRPr="00C605D8">
        <w:rPr>
          <w:rFonts w:cs="Arial"/>
          <w:szCs w:val="24"/>
        </w:rPr>
        <w:t>podtrhovat</w:t>
      </w:r>
      <w:r w:rsidRPr="00C605D8">
        <w:rPr>
          <w:rFonts w:cs="Arial"/>
          <w:szCs w:val="24"/>
        </w:rPr>
        <w:t xml:space="preserve"> nedostatečně rozvinut</w:t>
      </w:r>
      <w:r w:rsidR="00F049EE" w:rsidRPr="00C605D8">
        <w:rPr>
          <w:rFonts w:cs="Arial"/>
          <w:szCs w:val="24"/>
        </w:rPr>
        <w:t>á</w:t>
      </w:r>
      <w:r w:rsidRPr="00C605D8">
        <w:rPr>
          <w:rFonts w:cs="Arial"/>
          <w:szCs w:val="24"/>
        </w:rPr>
        <w:t xml:space="preserve"> dopravní obslužnost.</w:t>
      </w:r>
    </w:p>
    <w:p w:rsidR="002A7166" w:rsidRPr="00C605D8" w:rsidRDefault="002A7166" w:rsidP="008D41BF">
      <w:pPr>
        <w:spacing w:before="120" w:line="240" w:lineRule="auto"/>
        <w:ind w:left="708"/>
        <w:rPr>
          <w:rFonts w:cs="Arial"/>
          <w:szCs w:val="24"/>
        </w:rPr>
      </w:pPr>
    </w:p>
    <w:p w:rsidR="00F216F9" w:rsidRPr="00C605D8" w:rsidRDefault="00F216F9" w:rsidP="008D41BF">
      <w:pPr>
        <w:pStyle w:val="Odstavecseseznamem"/>
        <w:numPr>
          <w:ilvl w:val="0"/>
          <w:numId w:val="3"/>
        </w:numPr>
        <w:spacing w:before="120" w:line="240" w:lineRule="auto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Genderové disproporce</w:t>
      </w:r>
    </w:p>
    <w:p w:rsidR="00C175E1" w:rsidRPr="00C605D8" w:rsidRDefault="00F216F9" w:rsidP="008D41BF">
      <w:pPr>
        <w:spacing w:before="120" w:line="240" w:lineRule="auto"/>
        <w:ind w:left="708"/>
        <w:rPr>
          <w:rFonts w:cs="Arial"/>
          <w:szCs w:val="24"/>
        </w:rPr>
      </w:pPr>
      <w:r w:rsidRPr="00C605D8">
        <w:rPr>
          <w:rFonts w:cs="Arial"/>
          <w:szCs w:val="24"/>
        </w:rPr>
        <w:t xml:space="preserve">Disproporce mezi nabídkou a poptávkou na trhu práce je rovněž podtrhována genderovou segregací trhu práce, kdy řada nejčastěji poptávaných profesí vyžaduje manuální těžkou fyzickou práci nevhodnou pro ženy. V jiných skupinách (např. prodavači) pak s ohledem na </w:t>
      </w:r>
      <w:r w:rsidR="00AA7A14" w:rsidRPr="00C605D8">
        <w:rPr>
          <w:rFonts w:cs="Arial"/>
          <w:szCs w:val="24"/>
        </w:rPr>
        <w:t xml:space="preserve">svůj </w:t>
      </w:r>
      <w:r w:rsidRPr="00C605D8">
        <w:rPr>
          <w:rFonts w:cs="Arial"/>
          <w:szCs w:val="24"/>
        </w:rPr>
        <w:t xml:space="preserve">charakter </w:t>
      </w:r>
      <w:r w:rsidR="00AA7A14" w:rsidRPr="00C605D8">
        <w:rPr>
          <w:rFonts w:cs="Arial"/>
          <w:szCs w:val="24"/>
        </w:rPr>
        <w:t xml:space="preserve">není </w:t>
      </w:r>
      <w:r w:rsidRPr="00C605D8">
        <w:rPr>
          <w:rFonts w:cs="Arial"/>
          <w:szCs w:val="24"/>
        </w:rPr>
        <w:t>povolání (směnné provozy atd.) slučitelné s rodinným životem a výrazně tak limituje ženy v přístupu k zaměstnání. Na českém trhu práce dále existuje výrazně nízká nabídka flexibilních forem zaměstnání, které by nebyly svým charakterem zaměstnáními prekérními (ve smyslu nízké úrovně odměňování) a byly by tak vhodné pro ženy pečující o děti. Jak vyplývá z tabulky popisující nejčastěji poptávané profese, pak se jedná zejména o profese vhodné pro muže, což v komparaci s vyšším zastou</w:t>
      </w:r>
      <w:r w:rsidR="00F65933" w:rsidRPr="00C605D8">
        <w:rPr>
          <w:rFonts w:cs="Arial"/>
          <w:szCs w:val="24"/>
        </w:rPr>
        <w:t>pením žen v evidenci uchazečů o </w:t>
      </w:r>
      <w:r w:rsidRPr="00C605D8">
        <w:rPr>
          <w:rFonts w:cs="Arial"/>
          <w:szCs w:val="24"/>
        </w:rPr>
        <w:t>zaměstnání podtrhuje disproporci na trhu práce.</w:t>
      </w:r>
      <w:r w:rsidR="00C175E1" w:rsidRPr="00C605D8">
        <w:rPr>
          <w:rFonts w:cs="Arial"/>
          <w:szCs w:val="24"/>
        </w:rPr>
        <w:t xml:space="preserve"> </w:t>
      </w:r>
    </w:p>
    <w:p w:rsidR="00BA4913" w:rsidRPr="00C605D8" w:rsidRDefault="00BA4913" w:rsidP="008D41BF">
      <w:pPr>
        <w:spacing w:after="200" w:line="240" w:lineRule="auto"/>
        <w:jc w:val="left"/>
        <w:rPr>
          <w:rFonts w:cs="Arial"/>
          <w:szCs w:val="24"/>
        </w:rPr>
      </w:pPr>
    </w:p>
    <w:p w:rsidR="00BA4913" w:rsidRPr="00C605D8" w:rsidRDefault="00BA4913" w:rsidP="008D41BF">
      <w:pPr>
        <w:spacing w:after="200" w:line="240" w:lineRule="auto"/>
        <w:jc w:val="left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t>2.4 Historické porovnání</w:t>
      </w:r>
    </w:p>
    <w:p w:rsidR="001F6AD5" w:rsidRPr="00C605D8" w:rsidRDefault="00BA4913" w:rsidP="008D41BF">
      <w:pPr>
        <w:spacing w:after="200"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 xml:space="preserve">Jak bylo uvedeno v kapitole 1.2 popisující historický vývoj nabídky a poptávky na trhu práce, k situaci obdobné té aktuální </w:t>
      </w:r>
      <w:r w:rsidR="00F95D8B" w:rsidRPr="00C605D8">
        <w:rPr>
          <w:rFonts w:cs="Arial"/>
          <w:szCs w:val="24"/>
        </w:rPr>
        <w:t xml:space="preserve">došlo </w:t>
      </w:r>
      <w:r w:rsidR="00F95D8B">
        <w:rPr>
          <w:rFonts w:cs="Arial"/>
          <w:szCs w:val="24"/>
        </w:rPr>
        <w:t xml:space="preserve">i </w:t>
      </w:r>
      <w:r w:rsidRPr="00C605D8">
        <w:rPr>
          <w:rFonts w:cs="Arial"/>
          <w:szCs w:val="24"/>
        </w:rPr>
        <w:t>v roce 2006. V tomto roce byla minimální mzda upravena nařízením vlády č. 303/1995 Sb., o minimální mzdě a stanovena na hodnotu 7 955 Kč měsíčně, přičemž pro některé skupiny zaměstnanců (mladí, osoby invalidní</w:t>
      </w:r>
      <w:r w:rsidR="00165814" w:rsidRPr="00C605D8">
        <w:rPr>
          <w:rFonts w:cs="Arial"/>
          <w:szCs w:val="24"/>
        </w:rPr>
        <w:t>) byla stanovena sazba nižší. Průměrná měsíční mzda v roce 2006 dle dat Českého statistického úřadu dosahovala hodnoty 19 546 Kč. Minimální mzda se tedy pohybovala na hladině 40 % mzdy průměrné</w:t>
      </w:r>
      <w:r w:rsidR="001F6AD5" w:rsidRPr="00C605D8">
        <w:rPr>
          <w:rFonts w:cs="Arial"/>
          <w:szCs w:val="24"/>
        </w:rPr>
        <w:t xml:space="preserve"> a do roku 2006 byla průběžně každoročně navyšována</w:t>
      </w:r>
      <w:r w:rsidR="00165814" w:rsidRPr="00C605D8">
        <w:rPr>
          <w:rFonts w:cs="Arial"/>
          <w:szCs w:val="24"/>
        </w:rPr>
        <w:t xml:space="preserve">. </w:t>
      </w:r>
      <w:r w:rsidR="001F6AD5" w:rsidRPr="00C605D8">
        <w:rPr>
          <w:rFonts w:cs="Arial"/>
          <w:szCs w:val="24"/>
        </w:rPr>
        <w:t>Mezi lety 2006 až</w:t>
      </w:r>
      <w:r w:rsidR="00165814" w:rsidRPr="00C605D8">
        <w:rPr>
          <w:rFonts w:cs="Arial"/>
          <w:szCs w:val="24"/>
        </w:rPr>
        <w:t xml:space="preserve"> 2013 </w:t>
      </w:r>
      <w:r w:rsidR="001F6AD5" w:rsidRPr="00C605D8">
        <w:rPr>
          <w:rFonts w:cs="Arial"/>
          <w:szCs w:val="24"/>
        </w:rPr>
        <w:t xml:space="preserve">však výše minimální mzdy </w:t>
      </w:r>
      <w:r w:rsidR="00165814" w:rsidRPr="00C605D8">
        <w:rPr>
          <w:rFonts w:cs="Arial"/>
          <w:szCs w:val="24"/>
        </w:rPr>
        <w:t>stagnovala, což při zvyšování průměrné mzdy vedlo ke snižování motivace pracovní síly akceptovat zaměstnání jako zdroj obživy a k nedostatečnému rozevření nůžek mezi příjmem ze zaměstnání a příjmem sociálním. V roce 2014, kdy se začala projevovat zlepšující se situace na trhu práce</w:t>
      </w:r>
      <w:r w:rsidR="001F6AD5" w:rsidRPr="00C605D8">
        <w:rPr>
          <w:rFonts w:cs="Arial"/>
          <w:szCs w:val="24"/>
        </w:rPr>
        <w:t>,</w:t>
      </w:r>
      <w:r w:rsidR="00165814" w:rsidRPr="00C605D8">
        <w:rPr>
          <w:rFonts w:cs="Arial"/>
          <w:szCs w:val="24"/>
        </w:rPr>
        <w:t xml:space="preserve"> činila minimální mzda 8 500 Kč, což činilo 33 % mzdy průměrné</w:t>
      </w:r>
      <w:r w:rsidR="001F6AD5" w:rsidRPr="00C605D8">
        <w:rPr>
          <w:rFonts w:cs="Arial"/>
          <w:szCs w:val="24"/>
        </w:rPr>
        <w:t>. Vláda České republiky se proto zavázala valorizovat výši minimální mzdy a přispět tak ke zvýšení motivace, zejména nízko příjmových skupin osob, při vstupu do zaměstnání.</w:t>
      </w:r>
      <w:r w:rsidR="007D5712">
        <w:rPr>
          <w:rFonts w:cs="Arial"/>
          <w:szCs w:val="24"/>
        </w:rPr>
        <w:t xml:space="preserve"> </w:t>
      </w:r>
      <w:r w:rsidR="00360413" w:rsidRPr="00B6015F">
        <w:rPr>
          <w:rFonts w:cs="Arial"/>
          <w:szCs w:val="24"/>
        </w:rPr>
        <w:t>V roce 2015 činila minimální mzda 9 200 Kč za měsíc a podíl minimální a průměrné mzdy v tomto r</w:t>
      </w:r>
      <w:r w:rsidR="001A4A7D">
        <w:rPr>
          <w:rFonts w:cs="Arial"/>
          <w:szCs w:val="24"/>
        </w:rPr>
        <w:t>oce dosáhl úrovně 34,8 %. Od 1. </w:t>
      </w:r>
      <w:r w:rsidR="00360413" w:rsidRPr="00B6015F">
        <w:rPr>
          <w:rFonts w:cs="Arial"/>
          <w:szCs w:val="24"/>
        </w:rPr>
        <w:t>ledna 2016 činí výše minimální mzdy 9 900 Kč za měsíc a podle současné prognózy průměrné mzdy MPSV na rok 2016 by se mohl podíl minimální a průměrné mzdy zvýšit na cca 36 %.</w:t>
      </w:r>
    </w:p>
    <w:p w:rsidR="00E807ED" w:rsidRPr="00C605D8" w:rsidRDefault="001F6AD5" w:rsidP="008D41BF">
      <w:pPr>
        <w:spacing w:after="200"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V roce 2004 nabyl účinnosti zákon č. 435/2004 Sb., o zaměstnanosti. Jeho součástí se stal</w:t>
      </w:r>
      <w:r w:rsidR="00F049EE" w:rsidRPr="00C605D8">
        <w:rPr>
          <w:rFonts w:cs="Arial"/>
          <w:szCs w:val="24"/>
        </w:rPr>
        <w:t>y</w:t>
      </w:r>
      <w:r w:rsidRPr="00C605D8">
        <w:rPr>
          <w:rFonts w:cs="Arial"/>
          <w:szCs w:val="24"/>
        </w:rPr>
        <w:t xml:space="preserve"> nástroje aktivní politiky zaměstnanosti, které</w:t>
      </w:r>
      <w:r w:rsidR="00F65933" w:rsidRPr="00C605D8">
        <w:rPr>
          <w:rFonts w:cs="Arial"/>
          <w:szCs w:val="24"/>
        </w:rPr>
        <w:t xml:space="preserve"> jsou pro vyrovnávání nabídky a </w:t>
      </w:r>
      <w:r w:rsidRPr="00C605D8">
        <w:rPr>
          <w:rFonts w:cs="Arial"/>
          <w:szCs w:val="24"/>
        </w:rPr>
        <w:t xml:space="preserve">poptávky využívány s jistými obnovami dodnes. V roce 2006 byl mimo jiné součástí nástrojů aktivní politiky zaměstnanosti pod § 115 příspěvek na dopravu. V této podobě byl příspěvek na dopravu zaměstnanců poskytován zaměstnavateli na základě dohody s úřadem práce, jestliže tento zabezpečoval pro své zaměstnance každodenní dopravu. Podmínkou byla neexistence dopravního spojení či jeho nevhodnost pro potřeby zaměstnavatele. Příspěvek se poskytoval ve výši 50 % </w:t>
      </w:r>
      <w:r w:rsidRPr="00C605D8">
        <w:rPr>
          <w:rFonts w:cs="Arial"/>
          <w:szCs w:val="24"/>
        </w:rPr>
        <w:lastRenderedPageBreak/>
        <w:t xml:space="preserve">vynaložených výdajů na dopravu, v případě dopravy OZP s těžším zdravotním postižením pak 100 % nákladů. U této formy podpory regionální mobility byla problematická zejména návaznost na zaměstnavatele, obtížné prokazování výdajů </w:t>
      </w:r>
      <w:r w:rsidR="00F65933" w:rsidRPr="00C605D8">
        <w:rPr>
          <w:rFonts w:cs="Arial"/>
          <w:szCs w:val="24"/>
        </w:rPr>
        <w:t>a </w:t>
      </w:r>
      <w:r w:rsidRPr="00C605D8">
        <w:rPr>
          <w:rFonts w:cs="Arial"/>
          <w:szCs w:val="24"/>
        </w:rPr>
        <w:t>zvýšená administrativa. Za nevhodné lze rovněž označit skutečnost, že dopravu musel zabezpečit zaměstnavatel a příspěvek proto nebyl vhodný pro motivaci uchazečů o zaměstnání a v případech drobných zaměstnavatelů.</w:t>
      </w:r>
      <w:r w:rsidR="00E807ED" w:rsidRPr="00C605D8">
        <w:rPr>
          <w:rFonts w:cs="Arial"/>
          <w:szCs w:val="24"/>
        </w:rPr>
        <w:t xml:space="preserve"> Příspěvek byl následně s účinností od 1. ledna 2009 zrušen, neboť se ve své p</w:t>
      </w:r>
      <w:r w:rsidR="008D32A2" w:rsidRPr="00C605D8">
        <w:rPr>
          <w:rFonts w:cs="Arial"/>
          <w:szCs w:val="24"/>
        </w:rPr>
        <w:t xml:space="preserve">odobě ukázal jako neflexibilní, což se projevilo v jeho snižujícím se využívání (v roce 2005 – 3 609 osob, 2006 – 2 085 osob, 2007 – 1 350 osob, 2008 – 999 osob). </w:t>
      </w:r>
      <w:r w:rsidR="00E807ED" w:rsidRPr="00C605D8">
        <w:rPr>
          <w:rFonts w:cs="Arial"/>
          <w:szCs w:val="24"/>
        </w:rPr>
        <w:t>V situaci zvýšených požadavků na efektivní distribuci pracovní síly je</w:t>
      </w:r>
      <w:r w:rsidR="00F95D8B">
        <w:rPr>
          <w:rFonts w:cs="Arial"/>
          <w:szCs w:val="24"/>
        </w:rPr>
        <w:t xml:space="preserve"> v současné době</w:t>
      </w:r>
      <w:r w:rsidR="00E807ED" w:rsidRPr="00C605D8">
        <w:rPr>
          <w:rFonts w:cs="Arial"/>
          <w:szCs w:val="24"/>
        </w:rPr>
        <w:t xml:space="preserve"> navrhováno jeho opětovné zavedení, nicméně již ne jako nástroj určený k podpoře zaměstnavatelů, ale jako nástroj zvyšující motivaci pracovní síly, neboť primárně u ní lze nalézt bariéry (zejména ekonomické) bránící jí nalézat pracovní uplatnění mimo místo svého bydliště.</w:t>
      </w:r>
    </w:p>
    <w:p w:rsidR="000626D5" w:rsidRDefault="00E807ED" w:rsidP="008D41BF">
      <w:pPr>
        <w:spacing w:after="200"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Zákon č. 435/2004 Sb., rovněž zavedl tzv. nekolidující zaměstnání podle § 25 odst. 3 tohoto zákona. Cílem této právní úpravy bylo umožnit zachování pracovních návyků uchazeče o zaměstnání, případně jejich získání, a podpoření snahy o zvýšení příjmu vlastní prací. V roce 2006 využívalo nekolidující</w:t>
      </w:r>
      <w:r w:rsidR="00F65933" w:rsidRPr="00C605D8">
        <w:rPr>
          <w:rFonts w:cs="Arial"/>
          <w:szCs w:val="24"/>
        </w:rPr>
        <w:t>ho zaměstnání 24 583 uchazečů o </w:t>
      </w:r>
      <w:r w:rsidRPr="00C605D8">
        <w:rPr>
          <w:rFonts w:cs="Arial"/>
          <w:szCs w:val="24"/>
        </w:rPr>
        <w:t xml:space="preserve">zaměstnání. </w:t>
      </w:r>
      <w:r w:rsidR="00A12465" w:rsidRPr="00C605D8">
        <w:rPr>
          <w:rFonts w:cs="Arial"/>
          <w:szCs w:val="24"/>
        </w:rPr>
        <w:t>Významný</w:t>
      </w:r>
      <w:r w:rsidRPr="00C605D8">
        <w:rPr>
          <w:rFonts w:cs="Arial"/>
          <w:szCs w:val="24"/>
        </w:rPr>
        <w:t xml:space="preserve"> nárůst nekolidujícího zaměstnání lze však sledovat </w:t>
      </w:r>
      <w:r w:rsidR="00A12465" w:rsidRPr="00C605D8">
        <w:rPr>
          <w:rFonts w:cs="Arial"/>
          <w:szCs w:val="24"/>
        </w:rPr>
        <w:t xml:space="preserve">v letech 2009 a 2010 pravděpodobně v důsledku </w:t>
      </w:r>
      <w:r w:rsidR="00F65933" w:rsidRPr="00C605D8">
        <w:rPr>
          <w:rFonts w:cs="Arial"/>
          <w:szCs w:val="24"/>
        </w:rPr>
        <w:t>krize (zvýšení počtu uchazečů o </w:t>
      </w:r>
      <w:r w:rsidR="00A12465" w:rsidRPr="00C605D8">
        <w:rPr>
          <w:rFonts w:cs="Arial"/>
          <w:szCs w:val="24"/>
        </w:rPr>
        <w:t>zaměstnání a optimalizace mzdových nákladů zaměstnavatelů). Rapidní nárůst je však sledován v letech 2014 (70 729 uchazečů o zaměstnání), pokračující i v roce 2015, kdy jen od ledna do května využívalo nekolidujícího zaměstnání 70 231 uchazečů</w:t>
      </w:r>
      <w:r w:rsidR="00AA7A14" w:rsidRPr="00C605D8">
        <w:rPr>
          <w:rFonts w:cs="Arial"/>
          <w:szCs w:val="24"/>
        </w:rPr>
        <w:t>,</w:t>
      </w:r>
      <w:r w:rsidR="00A12465" w:rsidRPr="00C605D8">
        <w:rPr>
          <w:rFonts w:cs="Arial"/>
          <w:szCs w:val="24"/>
        </w:rPr>
        <w:t xml:space="preserve"> a to za situace obecného poklesu počtu uchazečů o zaměstnání. Z výrazného zvýšení podílu uchazečů o zaměstnání pracujících na nekolidujícím zaměstnání a ze změny jejich charakteru (dlouhodobý výkon) lze usoudit na ztrátu původního účelu opatření a jeho disfunkci charakterizovanou nahrazováním standardního pracovně-právního poměru.</w:t>
      </w:r>
    </w:p>
    <w:p w:rsidR="002A7166" w:rsidRDefault="002A7166" w:rsidP="008D41BF">
      <w:pPr>
        <w:spacing w:after="200" w:line="240" w:lineRule="auto"/>
        <w:rPr>
          <w:rFonts w:cs="Arial"/>
          <w:szCs w:val="24"/>
        </w:rPr>
      </w:pPr>
    </w:p>
    <w:p w:rsidR="002A7166" w:rsidRPr="00C605D8" w:rsidRDefault="002A7166" w:rsidP="008D41BF">
      <w:pPr>
        <w:spacing w:after="200" w:line="240" w:lineRule="auto"/>
        <w:rPr>
          <w:rFonts w:cs="Arial"/>
          <w:szCs w:val="24"/>
        </w:rPr>
      </w:pPr>
    </w:p>
    <w:p w:rsidR="00205D3B" w:rsidRPr="00C605D8" w:rsidRDefault="00FE3F8B" w:rsidP="008D41BF">
      <w:pPr>
        <w:pStyle w:val="Odstavecseseznamem"/>
        <w:numPr>
          <w:ilvl w:val="0"/>
          <w:numId w:val="6"/>
        </w:numPr>
        <w:spacing w:before="120" w:line="240" w:lineRule="auto"/>
        <w:jc w:val="center"/>
        <w:rPr>
          <w:rFonts w:cs="Arial"/>
          <w:b/>
          <w:sz w:val="28"/>
          <w:szCs w:val="24"/>
          <w:u w:val="single"/>
        </w:rPr>
      </w:pPr>
      <w:r w:rsidRPr="00C605D8">
        <w:rPr>
          <w:rFonts w:cs="Arial"/>
          <w:b/>
          <w:sz w:val="28"/>
          <w:szCs w:val="24"/>
          <w:u w:val="single"/>
        </w:rPr>
        <w:t>S</w:t>
      </w:r>
      <w:r w:rsidR="00205D3B" w:rsidRPr="00C605D8">
        <w:rPr>
          <w:rFonts w:cs="Arial"/>
          <w:b/>
          <w:sz w:val="28"/>
          <w:szCs w:val="24"/>
          <w:u w:val="single"/>
        </w:rPr>
        <w:t>hrnutí</w:t>
      </w:r>
    </w:p>
    <w:p w:rsidR="00FE3F8B" w:rsidRPr="00C605D8" w:rsidRDefault="00FE3F8B" w:rsidP="008D41BF">
      <w:pPr>
        <w:spacing w:before="120" w:line="240" w:lineRule="auto"/>
        <w:ind w:left="360"/>
        <w:rPr>
          <w:rFonts w:cs="Arial"/>
          <w:szCs w:val="24"/>
        </w:rPr>
      </w:pPr>
    </w:p>
    <w:p w:rsidR="00205D3B" w:rsidRPr="00C605D8" w:rsidRDefault="00205D3B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Současn</w:t>
      </w:r>
      <w:r w:rsidR="00F049EE" w:rsidRPr="00C605D8">
        <w:rPr>
          <w:rFonts w:cs="Arial"/>
          <w:szCs w:val="24"/>
        </w:rPr>
        <w:t>ý</w:t>
      </w:r>
      <w:r w:rsidRPr="00C605D8">
        <w:rPr>
          <w:rFonts w:cs="Arial"/>
          <w:szCs w:val="24"/>
        </w:rPr>
        <w:t xml:space="preserve"> ekonomický růst vyvolává na trhu práce zvýšenou poptávkou po pracovní síle, v evidenci volných pracovních míst Úřadu práce ČR je více jak 100 tisíc volných pracovních míst a od začátku roku 2015 dochází k permanentnímu snižování registrované nezaměstnanosti na necelých 450 tisíc uchazečů o zaměstnání. Vytváří se tak silný tlak ze strany zaměstnavatelů na nové zdroje pracovních sil. Jedním z důsledků krize byl však nárůst podílu dlouhodobě nezaměstnaných osob (nad 12 měsíců), jejichž podíl na nezaměstnanosti se blíží hranici 50 %</w:t>
      </w:r>
      <w:r w:rsidR="00AC68A4" w:rsidRPr="00C605D8">
        <w:rPr>
          <w:rFonts w:cs="Arial"/>
          <w:szCs w:val="24"/>
        </w:rPr>
        <w:t xml:space="preserve"> a se snižující se nezaměstnaností stoupá. Tato skutečnost indikuje výrazně zhoršené postavení dlouhodobě nezaměstnaných osob na trhu práce a ztrátu jejich konkurenceschopnosti na trhu práce v důsled</w:t>
      </w:r>
      <w:r w:rsidR="00F65933" w:rsidRPr="00C605D8">
        <w:rPr>
          <w:rFonts w:cs="Arial"/>
          <w:szCs w:val="24"/>
        </w:rPr>
        <w:t>ku dlouhodobé nezaměstnanosti a </w:t>
      </w:r>
      <w:r w:rsidR="00AC68A4" w:rsidRPr="00C605D8">
        <w:rPr>
          <w:rFonts w:cs="Arial"/>
          <w:szCs w:val="24"/>
        </w:rPr>
        <w:t>ztráty pracovních návyků, popřípadě kvalifikace.</w:t>
      </w:r>
    </w:p>
    <w:p w:rsidR="002444D6" w:rsidRPr="00C605D8" w:rsidRDefault="002444D6" w:rsidP="008D41BF">
      <w:pPr>
        <w:spacing w:line="240" w:lineRule="auto"/>
        <w:rPr>
          <w:rFonts w:cs="Arial"/>
          <w:szCs w:val="24"/>
        </w:rPr>
      </w:pPr>
    </w:p>
    <w:p w:rsidR="002444D6" w:rsidRPr="00C605D8" w:rsidRDefault="002444D6" w:rsidP="008D41BF">
      <w:pPr>
        <w:spacing w:line="240" w:lineRule="auto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t xml:space="preserve">Z provedené analýzy však vyplývá, že při zavedení vhodných opatření zvyšujících efektivitu regionální a profesní distribuce pracovní síly disponuje český trh práce dostatečným počtem pracovních sil schopným uspokojit </w:t>
      </w:r>
      <w:r w:rsidRPr="00C605D8">
        <w:rPr>
          <w:rFonts w:cs="Arial"/>
          <w:b/>
          <w:szCs w:val="24"/>
        </w:rPr>
        <w:lastRenderedPageBreak/>
        <w:t xml:space="preserve">domácí poptávku. </w:t>
      </w:r>
      <w:r w:rsidR="00635927" w:rsidRPr="00C605D8">
        <w:rPr>
          <w:rFonts w:cs="Arial"/>
          <w:b/>
          <w:szCs w:val="24"/>
        </w:rPr>
        <w:t>Ve spolupráci všech zainteresovaných stran je však nutné odbourat ty bariéry, které brání vstupu někte</w:t>
      </w:r>
      <w:r w:rsidR="00F65933" w:rsidRPr="00C605D8">
        <w:rPr>
          <w:rFonts w:cs="Arial"/>
          <w:b/>
          <w:szCs w:val="24"/>
        </w:rPr>
        <w:t>rých skupin osob na trh práce a </w:t>
      </w:r>
      <w:r w:rsidR="00635927" w:rsidRPr="00C605D8">
        <w:rPr>
          <w:rFonts w:cs="Arial"/>
          <w:b/>
          <w:szCs w:val="24"/>
        </w:rPr>
        <w:t>snižují tak efektivitu fungování trhu práce v České republice.</w:t>
      </w:r>
    </w:p>
    <w:p w:rsidR="00AC68A4" w:rsidRPr="00C605D8" w:rsidRDefault="00AC68A4" w:rsidP="008D41BF">
      <w:pPr>
        <w:spacing w:line="240" w:lineRule="auto"/>
        <w:rPr>
          <w:rFonts w:cs="Arial"/>
          <w:szCs w:val="24"/>
        </w:rPr>
      </w:pPr>
    </w:p>
    <w:p w:rsidR="00625786" w:rsidRPr="00C605D8" w:rsidRDefault="00625786" w:rsidP="008D41BF">
      <w:pPr>
        <w:spacing w:line="240" w:lineRule="auto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t>3.1 Problémy</w:t>
      </w:r>
    </w:p>
    <w:p w:rsidR="00AC68A4" w:rsidRPr="00C605D8" w:rsidRDefault="00AC68A4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V </w:t>
      </w:r>
      <w:r w:rsidR="00625786" w:rsidRPr="00C605D8">
        <w:rPr>
          <w:rFonts w:cs="Arial"/>
          <w:szCs w:val="24"/>
        </w:rPr>
        <w:t>situaci</w:t>
      </w:r>
      <w:r w:rsidRPr="00C605D8">
        <w:rPr>
          <w:rFonts w:cs="Arial"/>
          <w:szCs w:val="24"/>
        </w:rPr>
        <w:t xml:space="preserve"> obnoveného ekonomického růstu indik</w:t>
      </w:r>
      <w:r w:rsidR="00761007">
        <w:rPr>
          <w:rFonts w:cs="Arial"/>
          <w:szCs w:val="24"/>
        </w:rPr>
        <w:t xml:space="preserve">uje </w:t>
      </w:r>
      <w:r w:rsidR="00F95D8B" w:rsidRPr="00C605D8">
        <w:rPr>
          <w:rFonts w:cs="Arial"/>
          <w:szCs w:val="24"/>
        </w:rPr>
        <w:t xml:space="preserve">na trhu práce </w:t>
      </w:r>
      <w:r w:rsidR="00761007">
        <w:rPr>
          <w:rFonts w:cs="Arial"/>
          <w:szCs w:val="24"/>
        </w:rPr>
        <w:t>Ministerstvo práce a sociálních věcí</w:t>
      </w:r>
      <w:r w:rsidRPr="00C605D8">
        <w:rPr>
          <w:rFonts w:cs="Arial"/>
          <w:szCs w:val="24"/>
        </w:rPr>
        <w:t xml:space="preserve"> dvě základní skupiny disproporcí v nabídce a</w:t>
      </w:r>
      <w:r w:rsidR="00F73A71">
        <w:rPr>
          <w:rFonts w:cs="Arial"/>
          <w:szCs w:val="24"/>
        </w:rPr>
        <w:t> </w:t>
      </w:r>
      <w:r w:rsidRPr="00C605D8">
        <w:rPr>
          <w:rFonts w:cs="Arial"/>
          <w:szCs w:val="24"/>
        </w:rPr>
        <w:t>poptávce:</w:t>
      </w:r>
    </w:p>
    <w:p w:rsidR="000626D5" w:rsidRPr="00C605D8" w:rsidRDefault="000626D5" w:rsidP="008D41BF">
      <w:pPr>
        <w:spacing w:line="240" w:lineRule="auto"/>
        <w:rPr>
          <w:rFonts w:cs="Arial"/>
          <w:szCs w:val="24"/>
        </w:rPr>
      </w:pPr>
    </w:p>
    <w:p w:rsidR="000626D5" w:rsidRPr="00C605D8" w:rsidRDefault="000626D5" w:rsidP="008D41BF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rFonts w:cs="Arial"/>
          <w:b/>
          <w:i/>
          <w:szCs w:val="24"/>
        </w:rPr>
      </w:pPr>
      <w:r w:rsidRPr="00C605D8">
        <w:rPr>
          <w:rFonts w:cs="Arial"/>
          <w:b/>
          <w:i/>
          <w:szCs w:val="24"/>
        </w:rPr>
        <w:t>Vysoký počet volných pracovních míst i uchazečů o zaměstnání (disproporce v oblasti distribuce pracovní síly)</w:t>
      </w:r>
    </w:p>
    <w:p w:rsidR="003020BF" w:rsidRPr="00C605D8" w:rsidRDefault="003020BF" w:rsidP="008D41BF">
      <w:pPr>
        <w:pStyle w:val="Odstavecseseznamem"/>
        <w:spacing w:line="240" w:lineRule="auto"/>
        <w:ind w:left="426"/>
        <w:rPr>
          <w:rFonts w:cs="Arial"/>
          <w:b/>
          <w:i/>
          <w:szCs w:val="24"/>
        </w:rPr>
      </w:pPr>
    </w:p>
    <w:p w:rsidR="007A6F52" w:rsidRPr="00C605D8" w:rsidRDefault="007A6F52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Projevuje se</w:t>
      </w:r>
      <w:r w:rsidR="00AC68A4" w:rsidRPr="00C605D8">
        <w:rPr>
          <w:rFonts w:cs="Arial"/>
          <w:szCs w:val="24"/>
        </w:rPr>
        <w:t xml:space="preserve"> zejména u povolání </w:t>
      </w:r>
      <w:r w:rsidR="00AC68A4" w:rsidRPr="00C605D8">
        <w:rPr>
          <w:rFonts w:cs="Arial"/>
          <w:b/>
          <w:szCs w:val="24"/>
        </w:rPr>
        <w:t>s nízkými nároky na kvalifikaci, pomocných pracích apod.</w:t>
      </w:r>
      <w:r w:rsidR="00AC68A4" w:rsidRPr="00C605D8">
        <w:rPr>
          <w:rFonts w:cs="Arial"/>
          <w:szCs w:val="24"/>
        </w:rPr>
        <w:t>, vyznačovaných vysokou fluktuací</w:t>
      </w:r>
      <w:r w:rsidRPr="00C605D8">
        <w:rPr>
          <w:rFonts w:cs="Arial"/>
          <w:szCs w:val="24"/>
        </w:rPr>
        <w:t>. Zásadním faktorem determinujícím vznik této disproporce je střet mezi požadavky (pracovní podmínky, směnnost) a nabídkou zaměstnavatelů (výše odměny) v komparaci s požadavky</w:t>
      </w:r>
      <w:r w:rsidR="00F65933" w:rsidRPr="00C605D8">
        <w:rPr>
          <w:rFonts w:cs="Arial"/>
          <w:szCs w:val="24"/>
        </w:rPr>
        <w:t xml:space="preserve"> a </w:t>
      </w:r>
      <w:r w:rsidRPr="00C605D8">
        <w:rPr>
          <w:rFonts w:cs="Arial"/>
          <w:szCs w:val="24"/>
        </w:rPr>
        <w:t xml:space="preserve">představami pracovní síly. Lze vyvodit, že po vyvázání se </w:t>
      </w:r>
      <w:r w:rsidR="00CA6F34" w:rsidRPr="00C605D8">
        <w:rPr>
          <w:rFonts w:cs="Arial"/>
          <w:szCs w:val="24"/>
        </w:rPr>
        <w:t>z </w:t>
      </w:r>
      <w:r w:rsidRPr="00C605D8">
        <w:rPr>
          <w:rFonts w:cs="Arial"/>
          <w:szCs w:val="24"/>
        </w:rPr>
        <w:t>krize doposud trh práce nenalezl harmonii mezi poptávkou (zaměstnavatelé) a nabídkou (pracovní síla).</w:t>
      </w:r>
    </w:p>
    <w:p w:rsidR="007A6F52" w:rsidRPr="00C605D8" w:rsidRDefault="007A6F52" w:rsidP="008D41BF">
      <w:pPr>
        <w:spacing w:line="240" w:lineRule="auto"/>
        <w:rPr>
          <w:rFonts w:cs="Arial"/>
          <w:szCs w:val="24"/>
        </w:rPr>
      </w:pPr>
    </w:p>
    <w:p w:rsidR="007A6F52" w:rsidRPr="00C605D8" w:rsidRDefault="007A6F52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b/>
          <w:szCs w:val="24"/>
        </w:rPr>
        <w:t>Na straně zaměstnavatelů</w:t>
      </w:r>
      <w:r w:rsidRPr="00C605D8">
        <w:rPr>
          <w:rFonts w:cs="Arial"/>
          <w:szCs w:val="24"/>
        </w:rPr>
        <w:t xml:space="preserve"> </w:t>
      </w:r>
      <w:r w:rsidR="00261D0F">
        <w:rPr>
          <w:rFonts w:cs="Arial"/>
          <w:szCs w:val="24"/>
        </w:rPr>
        <w:t>jsou</w:t>
      </w:r>
      <w:r w:rsidRPr="00C605D8">
        <w:rPr>
          <w:rFonts w:cs="Arial"/>
          <w:szCs w:val="24"/>
        </w:rPr>
        <w:t xml:space="preserve"> primárním problémem </w:t>
      </w:r>
      <w:r w:rsidR="00261D0F">
        <w:rPr>
          <w:rFonts w:cs="Arial"/>
          <w:szCs w:val="24"/>
        </w:rPr>
        <w:t>nabízené pracovní a mzdové podmínky.</w:t>
      </w:r>
      <w:r w:rsidRPr="00C605D8">
        <w:rPr>
          <w:rFonts w:cs="Arial"/>
          <w:szCs w:val="24"/>
        </w:rPr>
        <w:t xml:space="preserve"> </w:t>
      </w:r>
      <w:r w:rsidR="00C605D8" w:rsidRPr="00C605D8">
        <w:rPr>
          <w:rFonts w:cs="Arial"/>
          <w:szCs w:val="24"/>
        </w:rPr>
        <w:t xml:space="preserve">Ve vzájemné komparaci s požadavky uchazečů o zaměstnání lze problémy identifikovat i v nedostatečné podpoře souladu rodinného a pracovního života a přispět úpravou pracovišť k vyrovnání hendikepů osob se zdravotním postižením. </w:t>
      </w:r>
      <w:r w:rsidRPr="00C605D8">
        <w:rPr>
          <w:rFonts w:cs="Arial"/>
          <w:szCs w:val="24"/>
        </w:rPr>
        <w:t>Výrazným determinantem je závislost na zakázkách a snaha o</w:t>
      </w:r>
      <w:r w:rsidR="00F73A71">
        <w:rPr>
          <w:rFonts w:cs="Arial"/>
          <w:szCs w:val="24"/>
        </w:rPr>
        <w:t> </w:t>
      </w:r>
      <w:r w:rsidRPr="00C605D8">
        <w:rPr>
          <w:rFonts w:cs="Arial"/>
          <w:szCs w:val="24"/>
        </w:rPr>
        <w:t>opt</w:t>
      </w:r>
      <w:r w:rsidR="00F65933" w:rsidRPr="00C605D8">
        <w:rPr>
          <w:rFonts w:cs="Arial"/>
          <w:szCs w:val="24"/>
        </w:rPr>
        <w:t>imalizaci a flexibilitu, tedy i </w:t>
      </w:r>
      <w:r w:rsidRPr="00C605D8">
        <w:rPr>
          <w:rFonts w:cs="Arial"/>
          <w:szCs w:val="24"/>
        </w:rPr>
        <w:t>nadměrné využívání dohod mimo pracovní poměr a</w:t>
      </w:r>
      <w:r w:rsidR="00F73A71">
        <w:rPr>
          <w:rFonts w:cs="Arial"/>
          <w:szCs w:val="24"/>
        </w:rPr>
        <w:t> </w:t>
      </w:r>
      <w:r w:rsidRPr="00C605D8">
        <w:rPr>
          <w:rFonts w:cs="Arial"/>
          <w:szCs w:val="24"/>
        </w:rPr>
        <w:t>agenturního zaměstnávání</w:t>
      </w:r>
      <w:r w:rsidR="00C605D8" w:rsidRPr="00C605D8">
        <w:rPr>
          <w:rFonts w:cs="Arial"/>
          <w:szCs w:val="24"/>
        </w:rPr>
        <w:t>, včetně využívání institutu tzv. nekolidujícího zaměstnání</w:t>
      </w:r>
      <w:r w:rsidRPr="00C605D8">
        <w:rPr>
          <w:rFonts w:cs="Arial"/>
          <w:szCs w:val="24"/>
        </w:rPr>
        <w:t>.</w:t>
      </w:r>
    </w:p>
    <w:p w:rsidR="007A6F52" w:rsidRPr="00C605D8" w:rsidRDefault="007A6F52" w:rsidP="008D41BF">
      <w:pPr>
        <w:spacing w:line="240" w:lineRule="auto"/>
        <w:rPr>
          <w:rFonts w:cs="Arial"/>
          <w:szCs w:val="24"/>
        </w:rPr>
      </w:pPr>
    </w:p>
    <w:p w:rsidR="007A6F52" w:rsidRPr="00C605D8" w:rsidRDefault="007A6F52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b/>
          <w:szCs w:val="24"/>
        </w:rPr>
        <w:t>Na straně pracovní síly</w:t>
      </w:r>
      <w:r w:rsidRPr="00C605D8">
        <w:rPr>
          <w:rFonts w:cs="Arial"/>
          <w:szCs w:val="24"/>
        </w:rPr>
        <w:t xml:space="preserve"> je zásadním problémem </w:t>
      </w:r>
      <w:r w:rsidR="00E778E5">
        <w:rPr>
          <w:rFonts w:cs="Arial"/>
          <w:szCs w:val="24"/>
        </w:rPr>
        <w:t>volba mezi relativně jistým příjmem v podobě sociálních dávek</w:t>
      </w:r>
      <w:r w:rsidRPr="00C605D8">
        <w:rPr>
          <w:rFonts w:cs="Arial"/>
          <w:szCs w:val="24"/>
        </w:rPr>
        <w:t xml:space="preserve"> </w:t>
      </w:r>
      <w:r w:rsidR="003D2BE7">
        <w:rPr>
          <w:rFonts w:cs="Arial"/>
          <w:szCs w:val="24"/>
        </w:rPr>
        <w:t>(</w:t>
      </w:r>
      <w:r w:rsidRPr="00C605D8">
        <w:rPr>
          <w:rFonts w:cs="Arial"/>
          <w:szCs w:val="24"/>
        </w:rPr>
        <w:t>popřípadě práce na černo či v rámci tzv. nekolidujícího zaměstnání</w:t>
      </w:r>
      <w:r w:rsidR="003D2BE7">
        <w:rPr>
          <w:rFonts w:cs="Arial"/>
          <w:szCs w:val="24"/>
        </w:rPr>
        <w:t>)</w:t>
      </w:r>
      <w:r w:rsidR="00E778E5">
        <w:rPr>
          <w:rFonts w:cs="Arial"/>
          <w:szCs w:val="24"/>
        </w:rPr>
        <w:t xml:space="preserve"> na straně jedné a nejistou výš</w:t>
      </w:r>
      <w:r w:rsidR="003D2BE7">
        <w:rPr>
          <w:rFonts w:cs="Arial"/>
          <w:szCs w:val="24"/>
        </w:rPr>
        <w:t>í</w:t>
      </w:r>
      <w:r w:rsidR="00E778E5">
        <w:rPr>
          <w:rFonts w:cs="Arial"/>
          <w:szCs w:val="24"/>
        </w:rPr>
        <w:t xml:space="preserve"> čistého příjmu ze mzdy, zejména </w:t>
      </w:r>
      <w:r w:rsidR="00E778E5" w:rsidRPr="00E778E5">
        <w:rPr>
          <w:rFonts w:cs="Arial"/>
          <w:szCs w:val="24"/>
        </w:rPr>
        <w:t>po odečtení odvodů, exekučních srážek a nákladů spojených s nástupem do zaměstnání (dojíždění, hlídání dětí, stravování mimo domov apod.)</w:t>
      </w:r>
      <w:r w:rsidR="00A34852" w:rsidRPr="00C605D8">
        <w:rPr>
          <w:rFonts w:cs="Arial"/>
          <w:szCs w:val="24"/>
        </w:rPr>
        <w:t>.</w:t>
      </w:r>
      <w:r w:rsidR="00C4414F" w:rsidRPr="00C605D8">
        <w:rPr>
          <w:rFonts w:cs="Arial"/>
          <w:szCs w:val="24"/>
        </w:rPr>
        <w:t xml:space="preserve"> K dalším problémům se řadí zdravotní st</w:t>
      </w:r>
      <w:r w:rsidR="00C605D8" w:rsidRPr="00C605D8">
        <w:rPr>
          <w:rFonts w:cs="Arial"/>
          <w:szCs w:val="24"/>
        </w:rPr>
        <w:t xml:space="preserve">av a péče o dítě/závislou osobu a neodpovídající představy o fungování trhu práce. </w:t>
      </w:r>
    </w:p>
    <w:p w:rsidR="00C4414F" w:rsidRPr="00C605D8" w:rsidRDefault="00C4414F" w:rsidP="008D41BF">
      <w:pPr>
        <w:spacing w:line="240" w:lineRule="auto"/>
        <w:rPr>
          <w:rFonts w:cs="Arial"/>
          <w:szCs w:val="24"/>
        </w:rPr>
      </w:pPr>
    </w:p>
    <w:p w:rsidR="00C4414F" w:rsidRPr="00C605D8" w:rsidRDefault="00C4414F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b/>
          <w:szCs w:val="24"/>
        </w:rPr>
        <w:t>Na straně státní správy</w:t>
      </w:r>
      <w:r w:rsidR="00CA6F34" w:rsidRPr="00C605D8">
        <w:rPr>
          <w:rFonts w:cs="Arial"/>
          <w:b/>
          <w:szCs w:val="24"/>
        </w:rPr>
        <w:t xml:space="preserve"> služeb zaměstnanosti</w:t>
      </w:r>
      <w:r w:rsidRPr="00C605D8">
        <w:rPr>
          <w:rFonts w:cs="Arial"/>
          <w:b/>
          <w:szCs w:val="24"/>
        </w:rPr>
        <w:t xml:space="preserve"> (ÚP ČR)</w:t>
      </w:r>
      <w:r w:rsidRPr="00C605D8">
        <w:rPr>
          <w:rFonts w:cs="Arial"/>
          <w:szCs w:val="24"/>
        </w:rPr>
        <w:t xml:space="preserve"> je primárním problémem koordinace mezi sociální politikou a politikou zaměstnanosti, kontrola oprávnění pobírat sociální dávky a kontrola pracovních podmínek, v některých případech pak </w:t>
      </w:r>
      <w:r w:rsidR="003020BF" w:rsidRPr="00C605D8">
        <w:rPr>
          <w:rFonts w:cs="Arial"/>
          <w:szCs w:val="24"/>
        </w:rPr>
        <w:t>ne</w:t>
      </w:r>
      <w:r w:rsidRPr="00C605D8">
        <w:rPr>
          <w:rFonts w:cs="Arial"/>
          <w:szCs w:val="24"/>
        </w:rPr>
        <w:t>zabezpeč</w:t>
      </w:r>
      <w:r w:rsidR="003020BF" w:rsidRPr="00C605D8">
        <w:rPr>
          <w:rFonts w:cs="Arial"/>
          <w:szCs w:val="24"/>
        </w:rPr>
        <w:t>ení</w:t>
      </w:r>
      <w:r w:rsidRPr="00C605D8">
        <w:rPr>
          <w:rFonts w:cs="Arial"/>
          <w:szCs w:val="24"/>
        </w:rPr>
        <w:t xml:space="preserve"> individualizovan</w:t>
      </w:r>
      <w:r w:rsidR="003020BF" w:rsidRPr="00C605D8">
        <w:rPr>
          <w:rFonts w:cs="Arial"/>
          <w:szCs w:val="24"/>
        </w:rPr>
        <w:t>ého</w:t>
      </w:r>
      <w:r w:rsidRPr="00C605D8">
        <w:rPr>
          <w:rFonts w:cs="Arial"/>
          <w:szCs w:val="24"/>
        </w:rPr>
        <w:t xml:space="preserve"> přístup</w:t>
      </w:r>
      <w:r w:rsidR="003020BF" w:rsidRPr="00C605D8">
        <w:rPr>
          <w:rFonts w:cs="Arial"/>
          <w:szCs w:val="24"/>
        </w:rPr>
        <w:t>u</w:t>
      </w:r>
      <w:r w:rsidRPr="00C605D8">
        <w:rPr>
          <w:rFonts w:cs="Arial"/>
          <w:szCs w:val="24"/>
        </w:rPr>
        <w:t xml:space="preserve"> zejména v oblasti zprostředkování zaměstnání</w:t>
      </w:r>
      <w:r w:rsidR="006A4E76">
        <w:rPr>
          <w:rFonts w:cs="Arial"/>
          <w:szCs w:val="24"/>
        </w:rPr>
        <w:t>, včetně dluhového a dávkového poradenství</w:t>
      </w:r>
      <w:r w:rsidRPr="00C605D8">
        <w:rPr>
          <w:rFonts w:cs="Arial"/>
          <w:szCs w:val="24"/>
        </w:rPr>
        <w:t>.</w:t>
      </w:r>
      <w:r w:rsidR="00C605D8" w:rsidRPr="00C605D8">
        <w:rPr>
          <w:rFonts w:cs="Arial"/>
          <w:szCs w:val="24"/>
        </w:rPr>
        <w:t xml:space="preserve"> Nedostatečně efektivní je rovněž podpora zaměstnavatelů při úpravách pracovních podmínek pro osoby se zdravotním postižením.</w:t>
      </w:r>
    </w:p>
    <w:p w:rsidR="000626D5" w:rsidRPr="00C605D8" w:rsidRDefault="000626D5" w:rsidP="008D41BF">
      <w:pPr>
        <w:spacing w:line="240" w:lineRule="auto"/>
        <w:rPr>
          <w:rFonts w:cs="Arial"/>
          <w:szCs w:val="24"/>
        </w:rPr>
      </w:pPr>
    </w:p>
    <w:p w:rsidR="000626D5" w:rsidRPr="00C605D8" w:rsidRDefault="000626D5" w:rsidP="008D41BF">
      <w:pPr>
        <w:spacing w:line="240" w:lineRule="auto"/>
        <w:rPr>
          <w:rFonts w:cs="Arial"/>
          <w:szCs w:val="24"/>
        </w:rPr>
      </w:pPr>
    </w:p>
    <w:p w:rsidR="003020BF" w:rsidRPr="00C605D8" w:rsidRDefault="00C4414F" w:rsidP="008D41BF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rFonts w:cs="Arial"/>
          <w:b/>
          <w:szCs w:val="24"/>
        </w:rPr>
      </w:pPr>
      <w:r w:rsidRPr="00C605D8">
        <w:rPr>
          <w:rFonts w:cs="Arial"/>
          <w:b/>
          <w:i/>
          <w:szCs w:val="24"/>
        </w:rPr>
        <w:t>R</w:t>
      </w:r>
      <w:r w:rsidR="00AC68A4" w:rsidRPr="00C605D8">
        <w:rPr>
          <w:rFonts w:cs="Arial"/>
          <w:b/>
          <w:i/>
          <w:szCs w:val="24"/>
        </w:rPr>
        <w:t>eálně chybějící pracovní síla</w:t>
      </w:r>
    </w:p>
    <w:p w:rsidR="00C4414F" w:rsidRPr="00C605D8" w:rsidRDefault="00AC68A4" w:rsidP="008D41BF">
      <w:pPr>
        <w:pStyle w:val="Odstavecseseznamem"/>
        <w:spacing w:line="240" w:lineRule="auto"/>
        <w:ind w:left="426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t xml:space="preserve"> </w:t>
      </w:r>
    </w:p>
    <w:p w:rsidR="00C4414F" w:rsidRPr="00C605D8" w:rsidRDefault="00F95D8B" w:rsidP="008D41BF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Pracovní síly se nedostává z</w:t>
      </w:r>
      <w:r w:rsidR="00C4414F" w:rsidRPr="00C605D8">
        <w:rPr>
          <w:rFonts w:cs="Arial"/>
          <w:szCs w:val="24"/>
        </w:rPr>
        <w:t xml:space="preserve">ejména </w:t>
      </w:r>
      <w:r w:rsidR="00C4414F" w:rsidRPr="00C605D8">
        <w:rPr>
          <w:rFonts w:cs="Arial"/>
          <w:b/>
          <w:szCs w:val="24"/>
        </w:rPr>
        <w:t>v řemeslných profesích a technických povoláních</w:t>
      </w:r>
      <w:r w:rsidR="00C4414F" w:rsidRPr="00C605D8">
        <w:rPr>
          <w:rFonts w:cs="Arial"/>
          <w:szCs w:val="24"/>
        </w:rPr>
        <w:t>,</w:t>
      </w:r>
    </w:p>
    <w:p w:rsidR="003020BF" w:rsidRPr="00C605D8" w:rsidRDefault="003020BF" w:rsidP="008D41BF">
      <w:pPr>
        <w:spacing w:line="240" w:lineRule="auto"/>
        <w:rPr>
          <w:rFonts w:cs="Arial"/>
          <w:szCs w:val="24"/>
        </w:rPr>
      </w:pPr>
    </w:p>
    <w:p w:rsidR="00976666" w:rsidRPr="00C605D8" w:rsidRDefault="00C4414F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b/>
          <w:szCs w:val="24"/>
        </w:rPr>
        <w:lastRenderedPageBreak/>
        <w:t>Na straně zaměstnavatelů</w:t>
      </w:r>
      <w:r w:rsidRPr="00C605D8">
        <w:rPr>
          <w:rFonts w:cs="Arial"/>
          <w:szCs w:val="24"/>
        </w:rPr>
        <w:t xml:space="preserve"> </w:t>
      </w:r>
      <w:r w:rsidR="00976666" w:rsidRPr="00C605D8">
        <w:rPr>
          <w:rFonts w:cs="Arial"/>
          <w:szCs w:val="24"/>
        </w:rPr>
        <w:t>existují objektivní (finanč</w:t>
      </w:r>
      <w:r w:rsidR="00F65933" w:rsidRPr="00C605D8">
        <w:rPr>
          <w:rFonts w:cs="Arial"/>
          <w:szCs w:val="24"/>
        </w:rPr>
        <w:t>ní a administrativní bariéry) i </w:t>
      </w:r>
      <w:r w:rsidR="00976666" w:rsidRPr="00C605D8">
        <w:rPr>
          <w:rFonts w:cs="Arial"/>
          <w:szCs w:val="24"/>
        </w:rPr>
        <w:t xml:space="preserve">subjektivní (nedůvěra v efektivnost vynaložených výdajů) příčiny vedoucí k nedostatečné ochotě zapracovávat nové zaměstnance a investovat do jejich kvalifikačního rozvoje v podobě dalšího vzdělávání. </w:t>
      </w:r>
    </w:p>
    <w:p w:rsidR="00976666" w:rsidRPr="00C605D8" w:rsidRDefault="00976666" w:rsidP="008D41BF">
      <w:pPr>
        <w:spacing w:line="240" w:lineRule="auto"/>
        <w:rPr>
          <w:rFonts w:cs="Arial"/>
          <w:szCs w:val="24"/>
        </w:rPr>
      </w:pPr>
    </w:p>
    <w:p w:rsidR="00625786" w:rsidRPr="00C605D8" w:rsidRDefault="00C4414F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b/>
          <w:szCs w:val="24"/>
        </w:rPr>
        <w:t>Na straně pracovní síly</w:t>
      </w:r>
      <w:r w:rsidRPr="00C605D8">
        <w:rPr>
          <w:rFonts w:cs="Arial"/>
          <w:szCs w:val="24"/>
        </w:rPr>
        <w:t xml:space="preserve"> je primárním problémem nedostatečná motivace zejména budoucích pracovníků (osob připravujících se na budoucí povolání) nalézat pracovní uplatnění v technických a řemeslných profesích, v řadě případů však i v oblasti zkreslených představ o fungování trhu práce (neadekvátní požadavky)</w:t>
      </w:r>
      <w:r w:rsidR="00625786" w:rsidRPr="00C605D8">
        <w:rPr>
          <w:rFonts w:cs="Arial"/>
          <w:szCs w:val="24"/>
        </w:rPr>
        <w:t>. Problematická je rovněž nedostatečná praxe a praktická znalost oboru.</w:t>
      </w:r>
    </w:p>
    <w:p w:rsidR="00625786" w:rsidRPr="00C605D8" w:rsidRDefault="00625786" w:rsidP="008D41BF">
      <w:pPr>
        <w:spacing w:line="240" w:lineRule="auto"/>
        <w:rPr>
          <w:rFonts w:cs="Arial"/>
          <w:szCs w:val="24"/>
        </w:rPr>
      </w:pPr>
    </w:p>
    <w:p w:rsidR="00AC68A4" w:rsidRPr="00C605D8" w:rsidRDefault="00625786" w:rsidP="008D41BF">
      <w:pPr>
        <w:spacing w:line="240" w:lineRule="auto"/>
        <w:rPr>
          <w:rFonts w:cs="Arial"/>
          <w:szCs w:val="24"/>
        </w:rPr>
      </w:pPr>
      <w:r w:rsidRPr="00C605D8">
        <w:rPr>
          <w:rFonts w:cs="Arial"/>
          <w:b/>
          <w:szCs w:val="24"/>
        </w:rPr>
        <w:t xml:space="preserve">Na straně státní správy </w:t>
      </w:r>
      <w:r w:rsidRPr="00C605D8">
        <w:rPr>
          <w:rFonts w:cs="Arial"/>
          <w:szCs w:val="24"/>
        </w:rPr>
        <w:t>je primární příčinou snížená funkčnost kariérového poradenství a poradenství k volbě povolání, oblast rekvalifikací a jejich efektivita, nastavení počátečního vzdělávání.</w:t>
      </w:r>
      <w:r w:rsidR="00C4414F" w:rsidRPr="00C605D8">
        <w:rPr>
          <w:rFonts w:cs="Arial"/>
          <w:szCs w:val="24"/>
        </w:rPr>
        <w:t xml:space="preserve"> </w:t>
      </w:r>
    </w:p>
    <w:p w:rsidR="00205D3B" w:rsidRPr="00C605D8" w:rsidRDefault="00625786" w:rsidP="008D41BF">
      <w:pPr>
        <w:spacing w:before="120" w:line="240" w:lineRule="auto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t xml:space="preserve">3.2 Opatření – shrnutí </w:t>
      </w:r>
    </w:p>
    <w:p w:rsidR="00625786" w:rsidRPr="00C605D8" w:rsidRDefault="00625786" w:rsidP="008D41BF">
      <w:pPr>
        <w:spacing w:before="120" w:line="240" w:lineRule="auto"/>
        <w:rPr>
          <w:rFonts w:cs="Arial"/>
          <w:szCs w:val="24"/>
        </w:rPr>
      </w:pPr>
      <w:r w:rsidRPr="00C605D8">
        <w:rPr>
          <w:rFonts w:cs="Arial"/>
          <w:szCs w:val="24"/>
        </w:rPr>
        <w:t>Na základě výše uvedených příčin problémů jsou navrhována konkrétní opatření k nivelizaci disharmonie na trhu práce (viz kap. 3.3), která směřují jak do oblasti legislativních změn, tak ke zvýšení efektivity činnosti Úřadu práce České republiky v oblasti zprostředkování zaměstnání. Jedná se o opatření v oblasti:</w:t>
      </w:r>
    </w:p>
    <w:p w:rsidR="00625786" w:rsidRPr="00C605D8" w:rsidRDefault="00625786" w:rsidP="008D41BF">
      <w:pPr>
        <w:pStyle w:val="Odstavecseseznamem"/>
        <w:numPr>
          <w:ilvl w:val="0"/>
          <w:numId w:val="3"/>
        </w:numPr>
        <w:spacing w:before="120" w:line="240" w:lineRule="auto"/>
        <w:ind w:left="714" w:hanging="357"/>
        <w:contextualSpacing w:val="0"/>
        <w:rPr>
          <w:rFonts w:cs="Arial"/>
          <w:szCs w:val="24"/>
        </w:rPr>
      </w:pPr>
      <w:r w:rsidRPr="00C605D8">
        <w:rPr>
          <w:rFonts w:cs="Arial"/>
          <w:b/>
          <w:szCs w:val="24"/>
        </w:rPr>
        <w:t>zvýšení motivace pracovní síly k přijetí zaměstnání</w:t>
      </w:r>
      <w:r w:rsidRPr="00C605D8">
        <w:rPr>
          <w:rFonts w:cs="Arial"/>
          <w:szCs w:val="24"/>
        </w:rPr>
        <w:t xml:space="preserve"> (znovuzavedení veřejné služby, průběžné zvyšování minimální mzdy, reg</w:t>
      </w:r>
      <w:r w:rsidR="004D28E9" w:rsidRPr="00C605D8">
        <w:rPr>
          <w:rFonts w:cs="Arial"/>
          <w:szCs w:val="24"/>
        </w:rPr>
        <w:t>ulace nekolidujícího zaměstnání, posilování regionální mobility pracovní síly, revize dávkového systému</w:t>
      </w:r>
      <w:r w:rsidR="006B14CE" w:rsidRPr="00C605D8">
        <w:rPr>
          <w:rFonts w:cs="Arial"/>
          <w:szCs w:val="24"/>
        </w:rPr>
        <w:t xml:space="preserve">, </w:t>
      </w:r>
      <w:r w:rsidR="00F73A71">
        <w:rPr>
          <w:rFonts w:cs="Arial"/>
          <w:szCs w:val="24"/>
        </w:rPr>
        <w:t>maximalizace využití synergických efektů působení Úřadu práce ČR v oblasti zaměstnanosti a pomoci v hmotné nouzi,</w:t>
      </w:r>
      <w:r w:rsidR="00F73A71" w:rsidRPr="00C605D8">
        <w:rPr>
          <w:rFonts w:cs="Arial"/>
          <w:szCs w:val="24"/>
        </w:rPr>
        <w:t xml:space="preserve"> </w:t>
      </w:r>
      <w:r w:rsidR="006B14CE" w:rsidRPr="00C605D8">
        <w:rPr>
          <w:rFonts w:cs="Arial"/>
          <w:szCs w:val="24"/>
        </w:rPr>
        <w:t>řešení problematiky vlivu exekucí na ochotu přijmout zaměstnání</w:t>
      </w:r>
      <w:r w:rsidR="004D28E9" w:rsidRPr="00C605D8">
        <w:rPr>
          <w:rFonts w:cs="Arial"/>
          <w:szCs w:val="24"/>
        </w:rPr>
        <w:t>);</w:t>
      </w:r>
    </w:p>
    <w:p w:rsidR="004D28E9" w:rsidRPr="00C605D8" w:rsidRDefault="004D28E9" w:rsidP="008D41BF">
      <w:pPr>
        <w:pStyle w:val="Odstavecseseznamem"/>
        <w:numPr>
          <w:ilvl w:val="0"/>
          <w:numId w:val="3"/>
        </w:numPr>
        <w:spacing w:before="120" w:line="240" w:lineRule="auto"/>
        <w:ind w:left="714" w:hanging="357"/>
        <w:contextualSpacing w:val="0"/>
        <w:rPr>
          <w:rFonts w:cs="Arial"/>
          <w:szCs w:val="24"/>
        </w:rPr>
      </w:pPr>
      <w:r w:rsidRPr="00C605D8">
        <w:rPr>
          <w:rFonts w:cs="Arial"/>
          <w:b/>
          <w:szCs w:val="24"/>
        </w:rPr>
        <w:t>zvýšení motivace zaměstnavatelů zaměstnávat osoby, které jsou na trhu práce znevýhodněné</w:t>
      </w:r>
      <w:r w:rsidR="00AA7A14" w:rsidRPr="00C605D8">
        <w:rPr>
          <w:rFonts w:cs="Arial"/>
          <w:b/>
          <w:szCs w:val="24"/>
        </w:rPr>
        <w:t>,</w:t>
      </w:r>
      <w:r w:rsidRPr="00C605D8">
        <w:rPr>
          <w:rFonts w:cs="Arial"/>
          <w:szCs w:val="24"/>
        </w:rPr>
        <w:t xml:space="preserve"> a podpořit tak intenzivní využití dostupné volné pracovní síly;</w:t>
      </w:r>
    </w:p>
    <w:p w:rsidR="004D28E9" w:rsidRPr="00C605D8" w:rsidRDefault="004D28E9" w:rsidP="008D41BF">
      <w:pPr>
        <w:pStyle w:val="Odstavecseseznamem"/>
        <w:numPr>
          <w:ilvl w:val="0"/>
          <w:numId w:val="3"/>
        </w:numPr>
        <w:spacing w:before="120" w:line="240" w:lineRule="auto"/>
        <w:ind w:left="714" w:hanging="357"/>
        <w:contextualSpacing w:val="0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t>intenzifikace realizace zprostředkovatelských služeb ÚP ČR s cílem včasně reagovat na vznikající poptávku po pracovní síle;</w:t>
      </w:r>
    </w:p>
    <w:p w:rsidR="001433C6" w:rsidRPr="00C605D8" w:rsidRDefault="004D28E9" w:rsidP="008D41BF">
      <w:pPr>
        <w:pStyle w:val="Odstavecseseznamem"/>
        <w:numPr>
          <w:ilvl w:val="0"/>
          <w:numId w:val="3"/>
        </w:numPr>
        <w:spacing w:before="120" w:line="240" w:lineRule="auto"/>
        <w:ind w:left="714" w:hanging="357"/>
        <w:contextualSpacing w:val="0"/>
        <w:rPr>
          <w:rFonts w:cs="Arial"/>
          <w:szCs w:val="24"/>
        </w:rPr>
      </w:pPr>
      <w:r w:rsidRPr="00C605D8">
        <w:rPr>
          <w:rFonts w:cs="Arial"/>
          <w:b/>
          <w:szCs w:val="24"/>
        </w:rPr>
        <w:t xml:space="preserve">podporovat soulad mezi požadavky na kvalifikaci a kvalifikační strukturou pracovní síly </w:t>
      </w:r>
      <w:r w:rsidRPr="00C605D8">
        <w:rPr>
          <w:rFonts w:cs="Arial"/>
          <w:szCs w:val="24"/>
        </w:rPr>
        <w:t>(zefektivnění realizace rekvalifikačních kurzů, předvídání potřeb trhu práce, optimalizace počátečního vzdělávání, kariérové poradenství a poradenství k volbě povolání).</w:t>
      </w:r>
    </w:p>
    <w:p w:rsidR="00411D9A" w:rsidRDefault="00411D9A" w:rsidP="008D41BF">
      <w:pPr>
        <w:spacing w:after="200" w:line="240" w:lineRule="auto"/>
        <w:jc w:val="left"/>
        <w:rPr>
          <w:rFonts w:cs="Arial"/>
          <w:szCs w:val="24"/>
        </w:rPr>
      </w:pPr>
    </w:p>
    <w:p w:rsidR="00411D9A" w:rsidRPr="000B588B" w:rsidRDefault="00411D9A" w:rsidP="00411D9A">
      <w:pPr>
        <w:spacing w:after="20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>Opatření uvedená v kap. 3.3 tohoto materiálu obsahují návrhy MPSV</w:t>
      </w:r>
      <w:r w:rsidR="00F95D8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jak </w:t>
      </w:r>
      <w:r w:rsidR="00F95D8B">
        <w:rPr>
          <w:rFonts w:cs="Arial"/>
          <w:szCs w:val="24"/>
        </w:rPr>
        <w:t>na</w:t>
      </w:r>
      <w:r>
        <w:rPr>
          <w:rFonts w:cs="Arial"/>
          <w:szCs w:val="24"/>
        </w:rPr>
        <w:t>pomoci odstranění disharmonií na trhu práce, jedná se tedy v převážné většině o opatření v gesci MPSV. K zabezpečení efektivního fungování trhu práce je však nutné tento balík opatření rozšířit i o další, neméně závažná opatření, zejména v oblasti přípravy pracovní síly na výkon budoucího povolání</w:t>
      </w:r>
      <w:r w:rsidR="000B588B">
        <w:rPr>
          <w:rFonts w:cs="Arial"/>
          <w:szCs w:val="24"/>
        </w:rPr>
        <w:t xml:space="preserve">, nastavení vzdělávacího systému. </w:t>
      </w:r>
      <w:r w:rsidR="000B588B">
        <w:rPr>
          <w:rFonts w:cs="Arial"/>
          <w:b/>
          <w:szCs w:val="24"/>
        </w:rPr>
        <w:t>Rozhodujícím v této oblasti je sociální dialog jak na celostátní</w:t>
      </w:r>
      <w:r w:rsidR="00F95D8B">
        <w:rPr>
          <w:rFonts w:cs="Arial"/>
          <w:b/>
          <w:szCs w:val="24"/>
        </w:rPr>
        <w:t>,</w:t>
      </w:r>
      <w:r w:rsidR="000B588B">
        <w:rPr>
          <w:rFonts w:cs="Arial"/>
          <w:b/>
          <w:szCs w:val="24"/>
        </w:rPr>
        <w:t xml:space="preserve"> tak regionální úrovni.</w:t>
      </w:r>
    </w:p>
    <w:p w:rsidR="001433C6" w:rsidRPr="00C605D8" w:rsidRDefault="001433C6" w:rsidP="00411D9A">
      <w:pPr>
        <w:spacing w:after="200" w:line="240" w:lineRule="auto"/>
        <w:rPr>
          <w:rFonts w:cs="Arial"/>
          <w:szCs w:val="24"/>
        </w:rPr>
        <w:sectPr w:rsidR="001433C6" w:rsidRPr="00C605D8"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605D8">
        <w:rPr>
          <w:rFonts w:cs="Arial"/>
          <w:szCs w:val="24"/>
        </w:rPr>
        <w:br w:type="page"/>
      </w:r>
    </w:p>
    <w:p w:rsidR="001433C6" w:rsidRPr="00C605D8" w:rsidRDefault="001433C6" w:rsidP="008D41BF">
      <w:pPr>
        <w:spacing w:after="200" w:line="240" w:lineRule="auto"/>
        <w:jc w:val="left"/>
        <w:rPr>
          <w:rFonts w:cs="Arial"/>
          <w:b/>
          <w:szCs w:val="24"/>
        </w:rPr>
      </w:pPr>
      <w:r w:rsidRPr="00C605D8">
        <w:rPr>
          <w:rFonts w:cs="Arial"/>
          <w:b/>
          <w:szCs w:val="24"/>
        </w:rPr>
        <w:lastRenderedPageBreak/>
        <w:t>3.3 Tabulka navrhovaných opatření</w:t>
      </w:r>
    </w:p>
    <w:p w:rsidR="001433C6" w:rsidRPr="00C605D8" w:rsidRDefault="001433C6" w:rsidP="008D41BF">
      <w:pPr>
        <w:spacing w:after="200" w:line="240" w:lineRule="auto"/>
        <w:jc w:val="left"/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710"/>
        <w:gridCol w:w="4360"/>
        <w:gridCol w:w="5670"/>
        <w:gridCol w:w="954"/>
        <w:gridCol w:w="1030"/>
        <w:gridCol w:w="1496"/>
      </w:tblGrid>
      <w:tr w:rsidR="001433C6" w:rsidRPr="00C605D8" w:rsidTr="00D808F8">
        <w:tc>
          <w:tcPr>
            <w:tcW w:w="14220" w:type="dxa"/>
            <w:gridSpan w:val="6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b/>
                <w:szCs w:val="24"/>
              </w:rPr>
            </w:pPr>
            <w:r w:rsidRPr="00C605D8">
              <w:rPr>
                <w:rFonts w:cs="Arial"/>
                <w:b/>
                <w:szCs w:val="24"/>
              </w:rPr>
              <w:t>Skupina 1: Zvýšení motivace pracovní síly akceptovat zaměstnání</w:t>
            </w:r>
          </w:p>
        </w:tc>
      </w:tr>
      <w:tr w:rsidR="001433C6" w:rsidRPr="00C605D8" w:rsidTr="001433C6">
        <w:tc>
          <w:tcPr>
            <w:tcW w:w="71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číslo</w:t>
            </w:r>
          </w:p>
        </w:tc>
        <w:tc>
          <w:tcPr>
            <w:tcW w:w="436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opatření</w:t>
            </w:r>
          </w:p>
        </w:tc>
        <w:tc>
          <w:tcPr>
            <w:tcW w:w="567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popis</w:t>
            </w:r>
          </w:p>
        </w:tc>
        <w:tc>
          <w:tcPr>
            <w:tcW w:w="954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gestor</w:t>
            </w:r>
          </w:p>
        </w:tc>
        <w:tc>
          <w:tcPr>
            <w:tcW w:w="103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 xml:space="preserve">Povaha </w:t>
            </w:r>
          </w:p>
        </w:tc>
        <w:tc>
          <w:tcPr>
            <w:tcW w:w="1496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termín</w:t>
            </w:r>
          </w:p>
        </w:tc>
      </w:tr>
      <w:tr w:rsidR="001433C6" w:rsidRPr="00C605D8" w:rsidTr="001433C6">
        <w:tc>
          <w:tcPr>
            <w:tcW w:w="71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1.1</w:t>
            </w:r>
          </w:p>
        </w:tc>
        <w:tc>
          <w:tcPr>
            <w:tcW w:w="436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Veřejná služba</w:t>
            </w:r>
          </w:p>
        </w:tc>
        <w:tc>
          <w:tcPr>
            <w:tcW w:w="5670" w:type="dxa"/>
          </w:tcPr>
          <w:p w:rsidR="001433C6" w:rsidRPr="00C605D8" w:rsidRDefault="00F049EE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Opětovné zavedení bonifikace výkonu veřejné služby s cílem aktivizovat osoby dlouhodobě nezaměstnané, resp. osoby nacházející se v hmotné nouzi s cílem podpořit uchování, resp. znovuzískání nezbytných pracovních návyků</w:t>
            </w:r>
          </w:p>
        </w:tc>
        <w:tc>
          <w:tcPr>
            <w:tcW w:w="954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L</w:t>
            </w:r>
          </w:p>
        </w:tc>
        <w:tc>
          <w:tcPr>
            <w:tcW w:w="1496" w:type="dxa"/>
          </w:tcPr>
          <w:p w:rsidR="001433C6" w:rsidRPr="00C605D8" w:rsidRDefault="00413769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2016</w:t>
            </w:r>
          </w:p>
        </w:tc>
      </w:tr>
      <w:tr w:rsidR="001433C6" w:rsidRPr="00C605D8" w:rsidTr="001433C6">
        <w:tc>
          <w:tcPr>
            <w:tcW w:w="71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1.2</w:t>
            </w:r>
          </w:p>
        </w:tc>
        <w:tc>
          <w:tcPr>
            <w:tcW w:w="436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Revize nekolidujícího zaměstnání</w:t>
            </w:r>
          </w:p>
        </w:tc>
        <w:tc>
          <w:tcPr>
            <w:tcW w:w="5670" w:type="dxa"/>
          </w:tcPr>
          <w:p w:rsidR="002C4120" w:rsidRPr="00C605D8" w:rsidRDefault="002C4120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 xml:space="preserve">Částečné zaměstnávání v souběhu s vedením v evidenci uchazečů o zaměstnání je umožněno od počátku účinnosti zákona o zaměstnanosti, tj. ode dne 1. 10. 2004. Cílem této právní úpravy bylo umožnit zachování pracovních návyků uchazeče </w:t>
            </w:r>
            <w:r w:rsidRPr="00C605D8">
              <w:rPr>
                <w:rFonts w:cs="Arial"/>
                <w:szCs w:val="24"/>
              </w:rPr>
              <w:br/>
              <w:t xml:space="preserve">o zaměstnání, případně jejich získání, a podpoření snahy o zvýšení příjmu vlastní prací. Z aktuálních dat vyplývá, že počet vykonávaných nekolidujících zaměstnání se zvyšuje, při tom jsou vykonávány uchazeči o zaměstnání, kteří mohou pracovat a neztratili pracovní návyky. </w:t>
            </w:r>
          </w:p>
          <w:p w:rsidR="002C4120" w:rsidRPr="00C605D8" w:rsidRDefault="002C4120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MPSV připraví variantní řešení regulace nekolidujícího zaměstnání tak, aby byla zachována jeho funkčnost, ale zároveň došlo k eliminaci jeho negativních dopadů na zprostředkování zaměstnání. Variabilita možného řešení se pohybuje od úplného zrušení nekolidujícího zaměstnání (nepravděpodobné) po jeho regulaci v oblasti maximální možné odměny, rozsahu či formy využívaného pracovně-právního vztahu.</w:t>
            </w:r>
          </w:p>
        </w:tc>
        <w:tc>
          <w:tcPr>
            <w:tcW w:w="954" w:type="dxa"/>
          </w:tcPr>
          <w:p w:rsidR="001433C6" w:rsidRPr="00C605D8" w:rsidRDefault="00AC6C5C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1433C6" w:rsidRPr="00C605D8" w:rsidRDefault="00AC6C5C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L</w:t>
            </w:r>
          </w:p>
        </w:tc>
        <w:tc>
          <w:tcPr>
            <w:tcW w:w="1496" w:type="dxa"/>
          </w:tcPr>
          <w:p w:rsidR="001433C6" w:rsidRPr="00C605D8" w:rsidRDefault="00413769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2016</w:t>
            </w:r>
          </w:p>
        </w:tc>
      </w:tr>
      <w:tr w:rsidR="001433C6" w:rsidRPr="00C605D8" w:rsidTr="001433C6">
        <w:tc>
          <w:tcPr>
            <w:tcW w:w="71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 xml:space="preserve">1.3a </w:t>
            </w:r>
          </w:p>
        </w:tc>
        <w:tc>
          <w:tcPr>
            <w:tcW w:w="436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Zvýšení minimální mzdy</w:t>
            </w:r>
          </w:p>
        </w:tc>
        <w:tc>
          <w:tcPr>
            <w:tcW w:w="5670" w:type="dxa"/>
          </w:tcPr>
          <w:p w:rsidR="001433C6" w:rsidRPr="00C605D8" w:rsidRDefault="002C4120" w:rsidP="00360413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 xml:space="preserve">Odměna za vykonanou práci je primárním zdrojem </w:t>
            </w:r>
            <w:r w:rsidRPr="00C605D8">
              <w:rPr>
                <w:rFonts w:cs="Arial"/>
                <w:szCs w:val="24"/>
              </w:rPr>
              <w:lastRenderedPageBreak/>
              <w:t xml:space="preserve">motivace k akceptaci zaměstnání. V souladu s programovým prohlášením vlády proto po </w:t>
            </w:r>
            <w:r w:rsidR="00360413">
              <w:rPr>
                <w:rFonts w:cs="Arial"/>
                <w:szCs w:val="24"/>
              </w:rPr>
              <w:t>projednání</w:t>
            </w:r>
            <w:r w:rsidR="00360413" w:rsidRPr="00C605D8">
              <w:rPr>
                <w:rFonts w:cs="Arial"/>
                <w:szCs w:val="24"/>
              </w:rPr>
              <w:t xml:space="preserve"> </w:t>
            </w:r>
            <w:r w:rsidRPr="00C605D8">
              <w:rPr>
                <w:rFonts w:cs="Arial"/>
                <w:szCs w:val="24"/>
              </w:rPr>
              <w:t>se sociálními partnery bude vláda pokračovat v přibližování úrovně minimální mzdy vytčené hranici 40 % průměrné mzdy. Zvyšování minimální mzdy bude prováděno v závislosti na udržení konkurenceschopnosti českého hospodářství. Opatření je úzce provázáno s opatřením 1.3b</w:t>
            </w:r>
          </w:p>
        </w:tc>
        <w:tc>
          <w:tcPr>
            <w:tcW w:w="954" w:type="dxa"/>
          </w:tcPr>
          <w:p w:rsidR="001433C6" w:rsidRPr="00C605D8" w:rsidRDefault="00AC6C5C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lastRenderedPageBreak/>
              <w:t>MPSV</w:t>
            </w:r>
          </w:p>
        </w:tc>
        <w:tc>
          <w:tcPr>
            <w:tcW w:w="1030" w:type="dxa"/>
          </w:tcPr>
          <w:p w:rsidR="001433C6" w:rsidRPr="00C605D8" w:rsidRDefault="00AC6C5C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L</w:t>
            </w:r>
          </w:p>
        </w:tc>
        <w:tc>
          <w:tcPr>
            <w:tcW w:w="1496" w:type="dxa"/>
          </w:tcPr>
          <w:p w:rsidR="001433C6" w:rsidRPr="00C605D8" w:rsidRDefault="002C4120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průběžně</w:t>
            </w:r>
          </w:p>
        </w:tc>
      </w:tr>
      <w:tr w:rsidR="001433C6" w:rsidRPr="00C605D8" w:rsidTr="001433C6">
        <w:tc>
          <w:tcPr>
            <w:tcW w:w="71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lastRenderedPageBreak/>
              <w:t>1.3b</w:t>
            </w:r>
          </w:p>
        </w:tc>
        <w:tc>
          <w:tcPr>
            <w:tcW w:w="436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Revize dávkového systému</w:t>
            </w:r>
          </w:p>
        </w:tc>
        <w:tc>
          <w:tcPr>
            <w:tcW w:w="5670" w:type="dxa"/>
          </w:tcPr>
          <w:p w:rsidR="001433C6" w:rsidRPr="00C605D8" w:rsidRDefault="002C4120" w:rsidP="00F73A71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 xml:space="preserve">MPSV provede revizi </w:t>
            </w:r>
            <w:r w:rsidR="00F73A71">
              <w:rPr>
                <w:rFonts w:cs="Arial"/>
                <w:szCs w:val="24"/>
              </w:rPr>
              <w:t>právní úpravy</w:t>
            </w:r>
            <w:r w:rsidR="00F73A71" w:rsidRPr="00C605D8">
              <w:rPr>
                <w:rFonts w:cs="Arial"/>
                <w:szCs w:val="24"/>
              </w:rPr>
              <w:t xml:space="preserve"> </w:t>
            </w:r>
            <w:r w:rsidRPr="00C605D8">
              <w:rPr>
                <w:rFonts w:cs="Arial"/>
                <w:szCs w:val="24"/>
              </w:rPr>
              <w:t xml:space="preserve">dávek </w:t>
            </w:r>
            <w:r w:rsidR="00413769" w:rsidRPr="00C605D8">
              <w:rPr>
                <w:rFonts w:cs="Arial"/>
                <w:szCs w:val="24"/>
              </w:rPr>
              <w:t>s ohledem na jejich možné dopady na motivaci pracovní síly akceptovat zaměstnání jako základní zdroj příjmu namísto závislosti na příjmu sociálním.</w:t>
            </w:r>
          </w:p>
        </w:tc>
        <w:tc>
          <w:tcPr>
            <w:tcW w:w="954" w:type="dxa"/>
          </w:tcPr>
          <w:p w:rsidR="001433C6" w:rsidRPr="00C605D8" w:rsidRDefault="00AC6C5C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1433C6" w:rsidRPr="00C605D8" w:rsidRDefault="00AC6C5C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L/NL</w:t>
            </w:r>
          </w:p>
        </w:tc>
        <w:tc>
          <w:tcPr>
            <w:tcW w:w="1496" w:type="dxa"/>
          </w:tcPr>
          <w:p w:rsidR="001433C6" w:rsidRPr="00C605D8" w:rsidRDefault="00413769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2016</w:t>
            </w:r>
          </w:p>
        </w:tc>
      </w:tr>
      <w:tr w:rsidR="001433C6" w:rsidRPr="00C605D8" w:rsidTr="001433C6">
        <w:tc>
          <w:tcPr>
            <w:tcW w:w="71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1.4</w:t>
            </w:r>
          </w:p>
        </w:tc>
        <w:tc>
          <w:tcPr>
            <w:tcW w:w="4360" w:type="dxa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Příspěvek na podporu regionální mobility</w:t>
            </w:r>
          </w:p>
        </w:tc>
        <w:tc>
          <w:tcPr>
            <w:tcW w:w="5670" w:type="dxa"/>
          </w:tcPr>
          <w:p w:rsidR="001433C6" w:rsidRPr="00C605D8" w:rsidRDefault="00AC6C5C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V souladu s Akčním plánem vlády na podporu hospodářského růstu a zaměstnanosti připraví MPSV návrh nového nástroje aktivní politiky zaměstnanosti a jeho pilotní ověření.</w:t>
            </w:r>
          </w:p>
          <w:p w:rsidR="00AC6C5C" w:rsidRDefault="00AC6C5C" w:rsidP="00F95D8B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 xml:space="preserve">Uchazečům o zaměstnání, kteří si naleznou pracovní uplatnění mimo místo svého bydliště, bude poskytován v závislosti na vzdálenosti dojížďky finanční příspěvek. Příspěvek bude paušální, podpořená osoba jej bude moci tedy využít na úhradu jak nákladů za dopravu, tak dalších nákladů souvisejících s dojížďkou </w:t>
            </w:r>
            <w:r w:rsidR="00F95D8B" w:rsidRPr="00C605D8">
              <w:rPr>
                <w:rFonts w:cs="Arial"/>
                <w:szCs w:val="24"/>
              </w:rPr>
              <w:t xml:space="preserve">do zaměstnání </w:t>
            </w:r>
            <w:r w:rsidRPr="00C605D8">
              <w:rPr>
                <w:rFonts w:cs="Arial"/>
                <w:szCs w:val="24"/>
              </w:rPr>
              <w:t>(či přestěhováním).</w:t>
            </w:r>
          </w:p>
          <w:p w:rsidR="006C17ED" w:rsidRPr="00C605D8" w:rsidRDefault="006C17ED" w:rsidP="00F95D8B">
            <w:pPr>
              <w:spacing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Poskytování příspěvku bylo pilotně zahájeno v dubnu 2016. Analyzována je možnost poskytovat příspěvek na přestěhování za prací.</w:t>
            </w:r>
          </w:p>
        </w:tc>
        <w:tc>
          <w:tcPr>
            <w:tcW w:w="954" w:type="dxa"/>
          </w:tcPr>
          <w:p w:rsidR="001433C6" w:rsidRPr="00C605D8" w:rsidRDefault="00AC6C5C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1433C6" w:rsidRPr="00C605D8" w:rsidRDefault="00AC6C5C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L/NL</w:t>
            </w:r>
          </w:p>
        </w:tc>
        <w:tc>
          <w:tcPr>
            <w:tcW w:w="1496" w:type="dxa"/>
          </w:tcPr>
          <w:p w:rsidR="001433C6" w:rsidRPr="00C605D8" w:rsidRDefault="00AC6C5C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2015</w:t>
            </w:r>
          </w:p>
        </w:tc>
      </w:tr>
      <w:tr w:rsidR="006B14CE" w:rsidRPr="00C605D8" w:rsidTr="001433C6">
        <w:tc>
          <w:tcPr>
            <w:tcW w:w="710" w:type="dxa"/>
          </w:tcPr>
          <w:p w:rsidR="006B14CE" w:rsidRPr="00C605D8" w:rsidRDefault="006B14CE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1.5</w:t>
            </w:r>
          </w:p>
        </w:tc>
        <w:tc>
          <w:tcPr>
            <w:tcW w:w="4360" w:type="dxa"/>
          </w:tcPr>
          <w:p w:rsidR="006B14CE" w:rsidRPr="00C605D8" w:rsidRDefault="006B14CE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Exekuce</w:t>
            </w:r>
          </w:p>
        </w:tc>
        <w:tc>
          <w:tcPr>
            <w:tcW w:w="5670" w:type="dxa"/>
          </w:tcPr>
          <w:p w:rsidR="006B14CE" w:rsidRPr="00C605D8" w:rsidRDefault="006B14CE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 xml:space="preserve">MPSV ve spolupráci s Ministerstvem spravedlnosti a Ministerstvem vnitra navrhne opatření k řešení problematiky exekucí a jejich negativního dopadu na motivaci pracovní síly přijmout zaměstnání jako zdroj </w:t>
            </w:r>
            <w:r w:rsidRPr="00C605D8">
              <w:rPr>
                <w:rFonts w:cs="Arial"/>
                <w:szCs w:val="24"/>
              </w:rPr>
              <w:lastRenderedPageBreak/>
              <w:t>obživy</w:t>
            </w:r>
          </w:p>
        </w:tc>
        <w:tc>
          <w:tcPr>
            <w:tcW w:w="954" w:type="dxa"/>
          </w:tcPr>
          <w:p w:rsidR="006B14CE" w:rsidRPr="00C605D8" w:rsidRDefault="006B14CE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lastRenderedPageBreak/>
              <w:t>MPSV</w:t>
            </w:r>
          </w:p>
          <w:p w:rsidR="006B14CE" w:rsidRPr="00C605D8" w:rsidRDefault="006B14CE" w:rsidP="008D41BF">
            <w:pPr>
              <w:spacing w:after="200"/>
              <w:jc w:val="left"/>
              <w:rPr>
                <w:rFonts w:cs="Arial"/>
                <w:szCs w:val="24"/>
              </w:rPr>
            </w:pPr>
            <w:proofErr w:type="spellStart"/>
            <w:r w:rsidRPr="00C605D8">
              <w:rPr>
                <w:rFonts w:cs="Arial"/>
                <w:szCs w:val="24"/>
              </w:rPr>
              <w:t>MSp</w:t>
            </w:r>
            <w:proofErr w:type="spellEnd"/>
          </w:p>
          <w:p w:rsidR="006B14CE" w:rsidRPr="00C605D8" w:rsidRDefault="006B14CE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MV</w:t>
            </w:r>
          </w:p>
        </w:tc>
        <w:tc>
          <w:tcPr>
            <w:tcW w:w="1030" w:type="dxa"/>
          </w:tcPr>
          <w:p w:rsidR="006B14CE" w:rsidRPr="00C605D8" w:rsidRDefault="006B14CE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L</w:t>
            </w:r>
          </w:p>
        </w:tc>
        <w:tc>
          <w:tcPr>
            <w:tcW w:w="1496" w:type="dxa"/>
          </w:tcPr>
          <w:p w:rsidR="006B14CE" w:rsidRPr="00C605D8" w:rsidRDefault="006B14CE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2016</w:t>
            </w:r>
          </w:p>
        </w:tc>
      </w:tr>
      <w:tr w:rsidR="002D0316" w:rsidRPr="00C605D8" w:rsidTr="001433C6">
        <w:tc>
          <w:tcPr>
            <w:tcW w:w="710" w:type="dxa"/>
          </w:tcPr>
          <w:p w:rsidR="002D0316" w:rsidRPr="00C605D8" w:rsidRDefault="002D0316" w:rsidP="008D41BF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1.6a</w:t>
            </w:r>
          </w:p>
        </w:tc>
        <w:tc>
          <w:tcPr>
            <w:tcW w:w="4360" w:type="dxa"/>
          </w:tcPr>
          <w:p w:rsidR="002D0316" w:rsidRPr="00C605D8" w:rsidRDefault="002D0316" w:rsidP="008D41BF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Podpora flexibilních forem organizace práce</w:t>
            </w:r>
          </w:p>
        </w:tc>
        <w:tc>
          <w:tcPr>
            <w:tcW w:w="5670" w:type="dxa"/>
          </w:tcPr>
          <w:p w:rsidR="002D0316" w:rsidRPr="00C605D8" w:rsidRDefault="002D0316" w:rsidP="002D0316">
            <w:pPr>
              <w:spacing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Odstraňování bariér (objektivních i subjektivních) bránících využívání flexibilních organizací práce, které svojí povahou nebudou prekérními zaměstnáními.</w:t>
            </w:r>
          </w:p>
        </w:tc>
        <w:tc>
          <w:tcPr>
            <w:tcW w:w="954" w:type="dxa"/>
          </w:tcPr>
          <w:p w:rsidR="002D0316" w:rsidRPr="00C605D8" w:rsidRDefault="002D0316" w:rsidP="008D41BF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2D0316" w:rsidRPr="00C605D8" w:rsidRDefault="002D0316" w:rsidP="008D41BF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L/NL</w:t>
            </w:r>
          </w:p>
        </w:tc>
        <w:tc>
          <w:tcPr>
            <w:tcW w:w="1496" w:type="dxa"/>
          </w:tcPr>
          <w:p w:rsidR="002D0316" w:rsidRPr="00C605D8" w:rsidRDefault="002D0316" w:rsidP="008D41BF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2016/2017</w:t>
            </w:r>
          </w:p>
        </w:tc>
      </w:tr>
      <w:tr w:rsidR="007B7697" w:rsidRPr="00C605D8" w:rsidTr="001433C6">
        <w:tc>
          <w:tcPr>
            <w:tcW w:w="710" w:type="dxa"/>
          </w:tcPr>
          <w:p w:rsidR="007B7697" w:rsidRPr="00C605D8" w:rsidRDefault="007B7697" w:rsidP="008D41BF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1.6</w:t>
            </w:r>
            <w:r w:rsidR="002D0316">
              <w:rPr>
                <w:rFonts w:cs="Arial"/>
                <w:szCs w:val="24"/>
              </w:rPr>
              <w:t>b</w:t>
            </w:r>
          </w:p>
        </w:tc>
        <w:tc>
          <w:tcPr>
            <w:tcW w:w="4360" w:type="dxa"/>
          </w:tcPr>
          <w:p w:rsidR="007B7697" w:rsidRPr="00C605D8" w:rsidRDefault="007B7697" w:rsidP="008D41BF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Agenturní zaměstnávání</w:t>
            </w:r>
          </w:p>
        </w:tc>
        <w:tc>
          <w:tcPr>
            <w:tcW w:w="5670" w:type="dxa"/>
          </w:tcPr>
          <w:p w:rsidR="007B7697" w:rsidRPr="00C605D8" w:rsidRDefault="007B7697" w:rsidP="008D41BF">
            <w:pPr>
              <w:spacing w:after="20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MPSV provede revizi systému agenturního zaměstnávání, zejména v rámci zákona č. 435/2004 Sb., o zaměstnanosti, s cílem zvýšit jistotu na trhu práce zaměstnanců agentur práce dočasně přidělovaných k uživatelům</w:t>
            </w:r>
          </w:p>
        </w:tc>
        <w:tc>
          <w:tcPr>
            <w:tcW w:w="954" w:type="dxa"/>
          </w:tcPr>
          <w:p w:rsidR="007B7697" w:rsidRPr="00C605D8" w:rsidRDefault="007B7697" w:rsidP="008D41BF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7B7697" w:rsidRPr="00C605D8" w:rsidRDefault="007B7697" w:rsidP="008D41BF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</w:p>
        </w:tc>
        <w:tc>
          <w:tcPr>
            <w:tcW w:w="1496" w:type="dxa"/>
          </w:tcPr>
          <w:p w:rsidR="007B7697" w:rsidRPr="00C605D8" w:rsidRDefault="007B7697" w:rsidP="008D41BF">
            <w:pPr>
              <w:spacing w:after="20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2016/2017</w:t>
            </w:r>
          </w:p>
        </w:tc>
      </w:tr>
      <w:tr w:rsidR="001433C6" w:rsidRPr="00C605D8" w:rsidTr="00D808F8">
        <w:tc>
          <w:tcPr>
            <w:tcW w:w="14220" w:type="dxa"/>
            <w:gridSpan w:val="6"/>
          </w:tcPr>
          <w:p w:rsidR="001433C6" w:rsidRPr="00C605D8" w:rsidRDefault="001433C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Skupina 2: motivace zaměstnavatelů zaměstnávat znevýhodněné skupiny osob (intenzivní využití dostupné pracovní síly)</w:t>
            </w:r>
          </w:p>
        </w:tc>
      </w:tr>
      <w:tr w:rsidR="001433C6" w:rsidRPr="00C605D8" w:rsidTr="001433C6">
        <w:tc>
          <w:tcPr>
            <w:tcW w:w="710" w:type="dxa"/>
          </w:tcPr>
          <w:p w:rsidR="001433C6" w:rsidRPr="00C605D8" w:rsidRDefault="00413769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2.1</w:t>
            </w:r>
          </w:p>
        </w:tc>
        <w:tc>
          <w:tcPr>
            <w:tcW w:w="4360" w:type="dxa"/>
          </w:tcPr>
          <w:p w:rsidR="001433C6" w:rsidRPr="00C605D8" w:rsidRDefault="00413769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Cílené poskytování příspěvků APZ</w:t>
            </w:r>
          </w:p>
        </w:tc>
        <w:tc>
          <w:tcPr>
            <w:tcW w:w="5670" w:type="dxa"/>
          </w:tcPr>
          <w:p w:rsidR="001433C6" w:rsidRPr="00C605D8" w:rsidRDefault="00413769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Významně eliminovat tzv. „</w:t>
            </w:r>
            <w:proofErr w:type="spellStart"/>
            <w:r w:rsidRPr="00C605D8">
              <w:rPr>
                <w:rFonts w:cs="Arial"/>
                <w:szCs w:val="24"/>
              </w:rPr>
              <w:t>cream</w:t>
            </w:r>
            <w:proofErr w:type="spellEnd"/>
            <w:r w:rsidR="00434D05" w:rsidRPr="00C605D8">
              <w:rPr>
                <w:rFonts w:cs="Arial"/>
                <w:szCs w:val="24"/>
              </w:rPr>
              <w:t>-</w:t>
            </w:r>
            <w:proofErr w:type="spellStart"/>
            <w:r w:rsidR="00434D05" w:rsidRPr="00C605D8">
              <w:rPr>
                <w:rFonts w:cs="Arial"/>
                <w:szCs w:val="24"/>
              </w:rPr>
              <w:t>off</w:t>
            </w:r>
            <w:proofErr w:type="spellEnd"/>
            <w:r w:rsidRPr="00C605D8">
              <w:rPr>
                <w:rFonts w:cs="Arial"/>
                <w:szCs w:val="24"/>
              </w:rPr>
              <w:t xml:space="preserve"> </w:t>
            </w:r>
            <w:proofErr w:type="spellStart"/>
            <w:r w:rsidRPr="00C605D8">
              <w:rPr>
                <w:rFonts w:cs="Arial"/>
                <w:szCs w:val="24"/>
              </w:rPr>
              <w:t>effect</w:t>
            </w:r>
            <w:proofErr w:type="spellEnd"/>
            <w:r w:rsidRPr="00C605D8">
              <w:rPr>
                <w:rFonts w:cs="Arial"/>
                <w:szCs w:val="24"/>
              </w:rPr>
              <w:t>“ u nástrojů APZ – tzn. při poskytování příspěvků zaměstnavatelům na podporu zaměstnanosti uchazečů o zaměstnání cíleně reflektovat míru znevýhodnění uchazeče o zaměstnání na trhu práce. APZ využívat k motivaci zaměstnavatelů zaměstnávat nejvíce znevýhodněné skupiny osob (dlouhodobě nezaměstnané, kumulace hendikepů).</w:t>
            </w:r>
          </w:p>
          <w:p w:rsidR="00413769" w:rsidRPr="00C605D8" w:rsidRDefault="00413769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Zvýšený zájem zaměstnavatelů o nové zaměstnance vytváří prostor, resp. šanci pro pracovní uplatnění uchazečů o zaměstnání, kteří pro svůj zdravotní stav, věk, péči o dítě nebo z jiných vážných důvodů mají zhoršené uplatnění na trhu práce a potřebují zvýšenou péči při zprostředkování zaměstnání.</w:t>
            </w:r>
          </w:p>
        </w:tc>
        <w:tc>
          <w:tcPr>
            <w:tcW w:w="954" w:type="dxa"/>
          </w:tcPr>
          <w:p w:rsidR="001433C6" w:rsidRPr="00C605D8" w:rsidRDefault="00413769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1433C6" w:rsidRPr="00C605D8" w:rsidRDefault="00413769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1433C6" w:rsidRPr="00C605D8" w:rsidRDefault="00413769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2016</w:t>
            </w:r>
          </w:p>
        </w:tc>
      </w:tr>
      <w:tr w:rsidR="00AC6C5C" w:rsidRPr="00C605D8" w:rsidTr="00D808F8">
        <w:tc>
          <w:tcPr>
            <w:tcW w:w="14220" w:type="dxa"/>
            <w:gridSpan w:val="6"/>
          </w:tcPr>
          <w:p w:rsidR="00AC6C5C" w:rsidRPr="00C605D8" w:rsidRDefault="00AC6C5C" w:rsidP="008D41BF">
            <w:pPr>
              <w:spacing w:after="200"/>
              <w:jc w:val="left"/>
              <w:rPr>
                <w:rFonts w:cs="Arial"/>
                <w:b/>
                <w:szCs w:val="24"/>
              </w:rPr>
            </w:pPr>
            <w:r w:rsidRPr="00C605D8">
              <w:rPr>
                <w:rFonts w:cs="Arial"/>
                <w:b/>
                <w:szCs w:val="24"/>
              </w:rPr>
              <w:t>Skupina 3: intenzifikace činnosti ÚP ČR</w:t>
            </w:r>
          </w:p>
        </w:tc>
      </w:tr>
      <w:tr w:rsidR="00AC6C5C" w:rsidRPr="00C605D8" w:rsidTr="001433C6">
        <w:tc>
          <w:tcPr>
            <w:tcW w:w="710" w:type="dxa"/>
          </w:tcPr>
          <w:p w:rsidR="00AC6C5C" w:rsidRPr="00C605D8" w:rsidRDefault="006804C0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3.1</w:t>
            </w:r>
          </w:p>
        </w:tc>
        <w:tc>
          <w:tcPr>
            <w:tcW w:w="4360" w:type="dxa"/>
          </w:tcPr>
          <w:p w:rsidR="00AC6C5C" w:rsidRPr="00C605D8" w:rsidRDefault="006804C0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Intenzifikace zprostředkovatelské činnosti ÚP ČR</w:t>
            </w:r>
          </w:p>
        </w:tc>
        <w:tc>
          <w:tcPr>
            <w:tcW w:w="5670" w:type="dxa"/>
          </w:tcPr>
          <w:p w:rsidR="00AC6C5C" w:rsidRPr="00C605D8" w:rsidRDefault="00083A7D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 xml:space="preserve">Intenzivní realizace zprostředkovatelských služeb ÚP ČR, tj. včasná a kvalitní reakce na poptávku zaměstnavatelů po nových zaměstnancích. Zejména se jedná o organizaci cílených výběrových řízení za účelem obsazení hlášených volných pracovních míst. </w:t>
            </w:r>
            <w:r w:rsidRPr="00C605D8">
              <w:rPr>
                <w:rFonts w:cs="Arial"/>
                <w:szCs w:val="24"/>
              </w:rPr>
              <w:lastRenderedPageBreak/>
              <w:t>Výběrová řízení probíhají jak v prostorách ÚP ČR, tak i přímo v prostorách zaměstnavatelů. V obou případech za aktivní asistence zaměstnanců ÚP ČR v souvislosti s nutnou zpětn</w:t>
            </w:r>
            <w:r w:rsidR="003D2BE7">
              <w:rPr>
                <w:rFonts w:cs="Arial"/>
                <w:szCs w:val="24"/>
              </w:rPr>
              <w:t>ou vazbou o přístupu uchazečů o </w:t>
            </w:r>
            <w:r w:rsidRPr="00C605D8">
              <w:rPr>
                <w:rFonts w:cs="Arial"/>
                <w:szCs w:val="24"/>
              </w:rPr>
              <w:t>zaměstnání v</w:t>
            </w:r>
            <w:r w:rsidR="003D2BE7">
              <w:rPr>
                <w:rFonts w:cs="Arial"/>
                <w:szCs w:val="24"/>
              </w:rPr>
              <w:t>e věci jejich aktivního zájmu o </w:t>
            </w:r>
            <w:r w:rsidRPr="00C605D8">
              <w:rPr>
                <w:rFonts w:cs="Arial"/>
                <w:szCs w:val="24"/>
              </w:rPr>
              <w:t>pracovní uplatnění na trhu práce.</w:t>
            </w:r>
            <w:r w:rsidR="00650560" w:rsidRPr="00C605D8">
              <w:rPr>
                <w:rFonts w:cs="Arial"/>
                <w:szCs w:val="24"/>
              </w:rPr>
              <w:t xml:space="preserve"> Důraz bude kladen na genderovou rovnost v přístupu ke vhodnému zaměstnání.</w:t>
            </w:r>
          </w:p>
        </w:tc>
        <w:tc>
          <w:tcPr>
            <w:tcW w:w="954" w:type="dxa"/>
          </w:tcPr>
          <w:p w:rsidR="00AC6C5C" w:rsidRPr="00C605D8" w:rsidRDefault="00083A7D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lastRenderedPageBreak/>
              <w:t>MPSV</w:t>
            </w:r>
          </w:p>
        </w:tc>
        <w:tc>
          <w:tcPr>
            <w:tcW w:w="1030" w:type="dxa"/>
          </w:tcPr>
          <w:p w:rsidR="00AC6C5C" w:rsidRPr="00C605D8" w:rsidRDefault="00083A7D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AC6C5C" w:rsidRPr="00C605D8" w:rsidRDefault="00083A7D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průběžně</w:t>
            </w:r>
          </w:p>
        </w:tc>
      </w:tr>
      <w:tr w:rsidR="00083A7D" w:rsidRPr="00C605D8" w:rsidTr="001433C6">
        <w:tc>
          <w:tcPr>
            <w:tcW w:w="710" w:type="dxa"/>
          </w:tcPr>
          <w:p w:rsidR="00083A7D" w:rsidRPr="00C605D8" w:rsidRDefault="00083A7D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lastRenderedPageBreak/>
              <w:t>3.2</w:t>
            </w:r>
          </w:p>
        </w:tc>
        <w:tc>
          <w:tcPr>
            <w:tcW w:w="4360" w:type="dxa"/>
          </w:tcPr>
          <w:p w:rsidR="00083A7D" w:rsidRPr="00C605D8" w:rsidRDefault="00083A7D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Párování uchazečů o zaměstnání a volných pracovních míst</w:t>
            </w:r>
          </w:p>
        </w:tc>
        <w:tc>
          <w:tcPr>
            <w:tcW w:w="5670" w:type="dxa"/>
          </w:tcPr>
          <w:p w:rsidR="00083A7D" w:rsidRPr="00C605D8" w:rsidRDefault="00083A7D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 xml:space="preserve">V rámci </w:t>
            </w:r>
            <w:r w:rsidR="003D2BE7">
              <w:rPr>
                <w:rFonts w:cs="Arial"/>
                <w:szCs w:val="24"/>
              </w:rPr>
              <w:t>individuální práce s uchazeči o </w:t>
            </w:r>
            <w:r w:rsidRPr="00C605D8">
              <w:rPr>
                <w:rFonts w:cs="Arial"/>
                <w:szCs w:val="24"/>
              </w:rPr>
              <w:t xml:space="preserve">zaměstnání </w:t>
            </w:r>
            <w:r w:rsidR="00DD1FDE">
              <w:rPr>
                <w:rFonts w:cs="Arial"/>
                <w:szCs w:val="24"/>
              </w:rPr>
              <w:t>se nadále zaměřovat</w:t>
            </w:r>
            <w:r w:rsidR="00DD1FDE" w:rsidRPr="00C605D8">
              <w:rPr>
                <w:rFonts w:cs="Arial"/>
                <w:szCs w:val="24"/>
              </w:rPr>
              <w:t xml:space="preserve"> </w:t>
            </w:r>
            <w:r w:rsidRPr="00C605D8">
              <w:rPr>
                <w:rFonts w:cs="Arial"/>
                <w:szCs w:val="24"/>
              </w:rPr>
              <w:t xml:space="preserve">na vydávání konkrétních doporučenek do zaměstnání </w:t>
            </w:r>
            <w:r w:rsidR="00B13614">
              <w:rPr>
                <w:rFonts w:cs="Arial"/>
                <w:szCs w:val="24"/>
              </w:rPr>
              <w:t>místo</w:t>
            </w:r>
            <w:r w:rsidR="00B13614" w:rsidRPr="00C605D8">
              <w:rPr>
                <w:rFonts w:cs="Arial"/>
                <w:szCs w:val="24"/>
              </w:rPr>
              <w:t xml:space="preserve"> </w:t>
            </w:r>
            <w:r w:rsidRPr="00C605D8">
              <w:rPr>
                <w:rFonts w:cs="Arial"/>
                <w:szCs w:val="24"/>
              </w:rPr>
              <w:t>pouhému vydávání informací o volných pracovních místech. Samozřejmě musí jít o kvalitní výběr vhodných uchazečů o zaměstnání, doporučovaných na hlášená volná pracovní místa. Zde je důležitá spolupráce ze strany zaměstnavatelů spočívající v pečlivém vyplňování výsledku kontaktu uchazeče o zaměstnání se zaměstnavatelem, zejména pokud jde o zájem uchazeče o zaměstnání nastoupit do zprostředkovaného zaměstnání.</w:t>
            </w:r>
          </w:p>
          <w:p w:rsidR="00083A7D" w:rsidRPr="00C605D8" w:rsidRDefault="00083A7D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Nedílnou částí zprostředkovatelské činnosti ÚP ČR je spolupráce se zaměstnavateli v oblasti zveřejňování nabídek pracovních příležitostí,</w:t>
            </w:r>
            <w:r w:rsidR="00650560" w:rsidRPr="00C605D8">
              <w:rPr>
                <w:rFonts w:cs="Arial"/>
                <w:szCs w:val="24"/>
              </w:rPr>
              <w:t xml:space="preserve"> genderové rovnosti,</w:t>
            </w:r>
            <w:r w:rsidRPr="00C605D8">
              <w:rPr>
                <w:rFonts w:cs="Arial"/>
                <w:szCs w:val="24"/>
              </w:rPr>
              <w:t xml:space="preserve"> pořádání burz práce a aktivní působení na pracovní sílu prostřednictvím informačních a poradenských středisek.</w:t>
            </w:r>
            <w:r w:rsidR="00650560" w:rsidRPr="00C605D8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954" w:type="dxa"/>
          </w:tcPr>
          <w:p w:rsidR="00083A7D" w:rsidRPr="00C605D8" w:rsidRDefault="00083A7D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083A7D" w:rsidRPr="00C605D8" w:rsidRDefault="00083A7D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083A7D" w:rsidRPr="00C605D8" w:rsidRDefault="00083A7D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průběžně</w:t>
            </w:r>
          </w:p>
        </w:tc>
      </w:tr>
      <w:tr w:rsidR="006804C0" w:rsidRPr="00C605D8" w:rsidTr="001433C6">
        <w:tc>
          <w:tcPr>
            <w:tcW w:w="710" w:type="dxa"/>
          </w:tcPr>
          <w:p w:rsidR="006804C0" w:rsidRPr="00C605D8" w:rsidRDefault="00083A7D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3.3</w:t>
            </w:r>
          </w:p>
        </w:tc>
        <w:tc>
          <w:tcPr>
            <w:tcW w:w="4360" w:type="dxa"/>
          </w:tcPr>
          <w:p w:rsidR="006804C0" w:rsidRPr="00C605D8" w:rsidRDefault="006804C0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Koordinace politiky zaměstnanosti a sociální politiky</w:t>
            </w:r>
          </w:p>
        </w:tc>
        <w:tc>
          <w:tcPr>
            <w:tcW w:w="5670" w:type="dxa"/>
          </w:tcPr>
          <w:p w:rsidR="006804C0" w:rsidRPr="00C605D8" w:rsidRDefault="00083A7D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Zvýšit spolupráci v rámci ÚP ČR mezi oblastí zprostředkování zaměstnání a nepojistných sociálních dávek s cílem koordinovat činnost jak na poli politiky zaměstnanosti, tak sociální politiky. Koordinovaně identifikovat možné bariéry při vstupu na trh práce ze strany pracovní síly.</w:t>
            </w:r>
          </w:p>
        </w:tc>
        <w:tc>
          <w:tcPr>
            <w:tcW w:w="954" w:type="dxa"/>
          </w:tcPr>
          <w:p w:rsidR="006804C0" w:rsidRPr="00C605D8" w:rsidRDefault="00083A7D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6804C0" w:rsidRPr="00C605D8" w:rsidRDefault="00083A7D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6804C0" w:rsidRPr="00C605D8" w:rsidRDefault="00083A7D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průběžně</w:t>
            </w:r>
          </w:p>
        </w:tc>
      </w:tr>
      <w:tr w:rsidR="000131FF" w:rsidRPr="00C605D8" w:rsidTr="00D808F8">
        <w:tc>
          <w:tcPr>
            <w:tcW w:w="14220" w:type="dxa"/>
            <w:gridSpan w:val="6"/>
          </w:tcPr>
          <w:p w:rsidR="000131FF" w:rsidRPr="00C605D8" w:rsidRDefault="000131FF" w:rsidP="008D41BF">
            <w:pPr>
              <w:spacing w:after="200"/>
              <w:jc w:val="left"/>
              <w:rPr>
                <w:rFonts w:cs="Arial"/>
                <w:b/>
                <w:szCs w:val="24"/>
              </w:rPr>
            </w:pPr>
            <w:r w:rsidRPr="00C605D8">
              <w:rPr>
                <w:rFonts w:cs="Arial"/>
                <w:b/>
                <w:szCs w:val="24"/>
              </w:rPr>
              <w:lastRenderedPageBreak/>
              <w:t>Skupina 4: zvýšení kvalifikačního souladu na trhu práce</w:t>
            </w:r>
          </w:p>
        </w:tc>
      </w:tr>
      <w:tr w:rsidR="006804C0" w:rsidRPr="00C605D8" w:rsidTr="001433C6">
        <w:tc>
          <w:tcPr>
            <w:tcW w:w="710" w:type="dxa"/>
          </w:tcPr>
          <w:p w:rsidR="006804C0" w:rsidRPr="00C605D8" w:rsidRDefault="000131FF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4.1</w:t>
            </w:r>
          </w:p>
        </w:tc>
        <w:tc>
          <w:tcPr>
            <w:tcW w:w="4360" w:type="dxa"/>
          </w:tcPr>
          <w:p w:rsidR="006804C0" w:rsidRPr="00C605D8" w:rsidRDefault="006F370F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Kariérové poradenství</w:t>
            </w:r>
          </w:p>
        </w:tc>
        <w:tc>
          <w:tcPr>
            <w:tcW w:w="5670" w:type="dxa"/>
          </w:tcPr>
          <w:p w:rsidR="006804C0" w:rsidRPr="00C605D8" w:rsidRDefault="00B019C4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V rámci individualizované práce s klienty ÚP ČR budou</w:t>
            </w:r>
            <w:r w:rsidR="003D2BE7">
              <w:rPr>
                <w:rFonts w:cs="Arial"/>
                <w:szCs w:val="24"/>
              </w:rPr>
              <w:t xml:space="preserve"> posíleny útvary informačních a </w:t>
            </w:r>
            <w:r w:rsidRPr="00C605D8">
              <w:rPr>
                <w:rFonts w:cs="Arial"/>
                <w:szCs w:val="24"/>
              </w:rPr>
              <w:t>poradenských středisek s cílem zintenzivnit činnost ÚP ČR v ob</w:t>
            </w:r>
            <w:r w:rsidR="003D2BE7">
              <w:rPr>
                <w:rFonts w:cs="Arial"/>
                <w:szCs w:val="24"/>
              </w:rPr>
              <w:t>lasti kariérového poradenství a </w:t>
            </w:r>
            <w:r w:rsidRPr="00C605D8">
              <w:rPr>
                <w:rFonts w:cs="Arial"/>
                <w:szCs w:val="24"/>
              </w:rPr>
              <w:t>poradenství k volbě povolání s cílem směřovat volnou (a potenciální) pracovní sílu do těch oblastí národního hospodářství, kde je citelný nedostatek vhodné a kvalifikované pracovní síly</w:t>
            </w:r>
          </w:p>
        </w:tc>
        <w:tc>
          <w:tcPr>
            <w:tcW w:w="954" w:type="dxa"/>
          </w:tcPr>
          <w:p w:rsidR="006804C0" w:rsidRPr="00C605D8" w:rsidRDefault="00B019C4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6804C0" w:rsidRPr="00C605D8" w:rsidRDefault="00B019C4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6804C0" w:rsidRPr="00C605D8" w:rsidRDefault="00B019C4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průběžně</w:t>
            </w:r>
          </w:p>
        </w:tc>
      </w:tr>
      <w:tr w:rsidR="000131FF" w:rsidRPr="00C605D8" w:rsidTr="001433C6">
        <w:tc>
          <w:tcPr>
            <w:tcW w:w="710" w:type="dxa"/>
          </w:tcPr>
          <w:p w:rsidR="000131FF" w:rsidRPr="00C605D8" w:rsidRDefault="000131FF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4.2</w:t>
            </w:r>
          </w:p>
        </w:tc>
        <w:tc>
          <w:tcPr>
            <w:tcW w:w="4360" w:type="dxa"/>
          </w:tcPr>
          <w:p w:rsidR="000131FF" w:rsidRPr="00C605D8" w:rsidRDefault="000131FF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Rekvalifikace</w:t>
            </w:r>
          </w:p>
        </w:tc>
        <w:tc>
          <w:tcPr>
            <w:tcW w:w="5670" w:type="dxa"/>
          </w:tcPr>
          <w:p w:rsidR="000131FF" w:rsidRPr="00C605D8" w:rsidRDefault="00CB04A0" w:rsidP="00F95D8B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iCs/>
                <w:szCs w:val="24"/>
              </w:rPr>
              <w:t>Pro odstranění disproporcí v profesním rozložení nabídky a poptávky bude prováděn</w:t>
            </w:r>
            <w:r w:rsidRPr="00C605D8">
              <w:rPr>
                <w:rFonts w:cs="Arial"/>
                <w:i/>
                <w:iCs/>
                <w:szCs w:val="24"/>
              </w:rPr>
              <w:t xml:space="preserve"> </w:t>
            </w:r>
            <w:r w:rsidR="00F94DCA" w:rsidRPr="00C605D8">
              <w:rPr>
                <w:rFonts w:cs="Arial"/>
                <w:szCs w:val="24"/>
              </w:rPr>
              <w:t xml:space="preserve">efektivní průzkum požadavků zaměstnavatelů tak, aby rekvalifikační kurzy byly schopny v dostatečném předstihu připravit pracovní sílu. MPSV provede vyhodnocení </w:t>
            </w:r>
            <w:r w:rsidR="00B019C4" w:rsidRPr="00C605D8">
              <w:rPr>
                <w:rFonts w:cs="Arial"/>
                <w:szCs w:val="24"/>
              </w:rPr>
              <w:t xml:space="preserve">efektivity </w:t>
            </w:r>
            <w:r w:rsidR="00F94DCA" w:rsidRPr="00C605D8">
              <w:rPr>
                <w:rFonts w:cs="Arial"/>
                <w:szCs w:val="24"/>
              </w:rPr>
              <w:t>nastavení rekvalifikačních kurzů</w:t>
            </w:r>
            <w:r w:rsidR="00B019C4" w:rsidRPr="00C605D8">
              <w:rPr>
                <w:rFonts w:cs="Arial"/>
                <w:szCs w:val="24"/>
              </w:rPr>
              <w:t xml:space="preserve"> a vypracuje návrhy směřující ke zvýšení flexibility a efektivity tohoto opatření</w:t>
            </w:r>
            <w:r w:rsidR="00CB6706" w:rsidRPr="00C605D8">
              <w:rPr>
                <w:rFonts w:cs="Arial"/>
                <w:szCs w:val="24"/>
              </w:rPr>
              <w:t>.</w:t>
            </w:r>
          </w:p>
        </w:tc>
        <w:tc>
          <w:tcPr>
            <w:tcW w:w="954" w:type="dxa"/>
          </w:tcPr>
          <w:p w:rsidR="000131FF" w:rsidRPr="00C605D8" w:rsidRDefault="00B019C4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0131FF" w:rsidRPr="00C605D8" w:rsidRDefault="00B019C4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0131FF" w:rsidRPr="00C605D8" w:rsidRDefault="00B019C4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2016</w:t>
            </w:r>
          </w:p>
        </w:tc>
      </w:tr>
      <w:tr w:rsidR="00635927" w:rsidRPr="00C605D8" w:rsidTr="001433C6">
        <w:tc>
          <w:tcPr>
            <w:tcW w:w="710" w:type="dxa"/>
          </w:tcPr>
          <w:p w:rsidR="00635927" w:rsidRPr="00C605D8" w:rsidRDefault="00635927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4.3</w:t>
            </w:r>
          </w:p>
        </w:tc>
        <w:tc>
          <w:tcPr>
            <w:tcW w:w="4360" w:type="dxa"/>
          </w:tcPr>
          <w:p w:rsidR="00635927" w:rsidRPr="00C605D8" w:rsidRDefault="00635927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Predikce trhu práce</w:t>
            </w:r>
          </w:p>
        </w:tc>
        <w:tc>
          <w:tcPr>
            <w:tcW w:w="5670" w:type="dxa"/>
          </w:tcPr>
          <w:p w:rsidR="00635927" w:rsidRPr="00C605D8" w:rsidRDefault="00635927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MPSV vytvoří systém predikcí vývoje trhu práce, tak aby bylo možné v dostatečném předstihu reagovat na vývoj trhu práce</w:t>
            </w:r>
            <w:r w:rsidR="00CB6706" w:rsidRPr="00C605D8">
              <w:rPr>
                <w:rFonts w:cs="Arial"/>
                <w:szCs w:val="24"/>
              </w:rPr>
              <w:t xml:space="preserve"> a zabezpečit tak dostatek pracovní síly ve vhodné kvalifikační struktuře.</w:t>
            </w:r>
            <w:r w:rsidR="00DD1FDE">
              <w:rPr>
                <w:rFonts w:cs="Arial"/>
                <w:szCs w:val="24"/>
              </w:rPr>
              <w:t xml:space="preserve"> Využito bude již realizovaných kroků (projekt PŘEKVAP)</w:t>
            </w:r>
          </w:p>
        </w:tc>
        <w:tc>
          <w:tcPr>
            <w:tcW w:w="954" w:type="dxa"/>
          </w:tcPr>
          <w:p w:rsidR="00635927" w:rsidRPr="00C605D8" w:rsidRDefault="00635927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MPSV</w:t>
            </w:r>
          </w:p>
        </w:tc>
        <w:tc>
          <w:tcPr>
            <w:tcW w:w="1030" w:type="dxa"/>
          </w:tcPr>
          <w:p w:rsidR="00635927" w:rsidRPr="00C605D8" w:rsidRDefault="00635927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635927" w:rsidRPr="00C605D8" w:rsidRDefault="00CB6706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2016</w:t>
            </w:r>
          </w:p>
        </w:tc>
      </w:tr>
      <w:tr w:rsidR="00635927" w:rsidRPr="00C605D8" w:rsidTr="001433C6">
        <w:tc>
          <w:tcPr>
            <w:tcW w:w="710" w:type="dxa"/>
          </w:tcPr>
          <w:p w:rsidR="00635927" w:rsidRPr="00C605D8" w:rsidRDefault="00635927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4.4</w:t>
            </w:r>
          </w:p>
        </w:tc>
        <w:tc>
          <w:tcPr>
            <w:tcW w:w="4360" w:type="dxa"/>
          </w:tcPr>
          <w:p w:rsidR="00635927" w:rsidRPr="00C605D8" w:rsidRDefault="00635927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Spolupráce na trhu práce</w:t>
            </w:r>
          </w:p>
        </w:tc>
        <w:tc>
          <w:tcPr>
            <w:tcW w:w="5670" w:type="dxa"/>
          </w:tcPr>
          <w:p w:rsidR="00635927" w:rsidRPr="00C605D8" w:rsidRDefault="00CB2708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Spolupráce všech zúčastněných aktérů trhu práce (státní správy, zaměstnavatel</w:t>
            </w:r>
            <w:r w:rsidR="00B13614">
              <w:rPr>
                <w:rFonts w:cs="Arial"/>
                <w:szCs w:val="24"/>
              </w:rPr>
              <w:t>ů</w:t>
            </w:r>
            <w:r w:rsidRPr="00C605D8">
              <w:rPr>
                <w:rFonts w:cs="Arial"/>
                <w:szCs w:val="24"/>
              </w:rPr>
              <w:t>, samosprávy, zástupc</w:t>
            </w:r>
            <w:r w:rsidR="00B13614">
              <w:rPr>
                <w:rFonts w:cs="Arial"/>
                <w:szCs w:val="24"/>
              </w:rPr>
              <w:t>ů</w:t>
            </w:r>
            <w:r w:rsidRPr="00C605D8">
              <w:rPr>
                <w:rFonts w:cs="Arial"/>
                <w:szCs w:val="24"/>
              </w:rPr>
              <w:t xml:space="preserve"> zaměstnanců, vzdělávací</w:t>
            </w:r>
            <w:r w:rsidR="00B13614">
              <w:rPr>
                <w:rFonts w:cs="Arial"/>
                <w:szCs w:val="24"/>
              </w:rPr>
              <w:t>ch</w:t>
            </w:r>
            <w:r w:rsidRPr="00C605D8">
              <w:rPr>
                <w:rFonts w:cs="Arial"/>
                <w:szCs w:val="24"/>
              </w:rPr>
              <w:t xml:space="preserve"> instituc</w:t>
            </w:r>
            <w:r w:rsidR="00B13614">
              <w:rPr>
                <w:rFonts w:cs="Arial"/>
                <w:szCs w:val="24"/>
              </w:rPr>
              <w:t>í, nestátních neziskových organizací a dalších aktérů ovlivňujících trh práce</w:t>
            </w:r>
            <w:r w:rsidRPr="00C605D8">
              <w:rPr>
                <w:rFonts w:cs="Arial"/>
                <w:szCs w:val="24"/>
              </w:rPr>
              <w:t>) je zcela nezbytným předpokladem k realizaci významné části výše uvedených opatření.</w:t>
            </w:r>
          </w:p>
          <w:p w:rsidR="00CB2708" w:rsidRPr="00C605D8" w:rsidRDefault="00CB2708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Ze strany státní správy bude zaměstnavatelům poskytnuta maximální možn</w:t>
            </w:r>
            <w:r w:rsidR="00F95D8B">
              <w:rPr>
                <w:rFonts w:cs="Arial"/>
                <w:szCs w:val="24"/>
              </w:rPr>
              <w:t>á</w:t>
            </w:r>
            <w:r w:rsidRPr="00C605D8">
              <w:rPr>
                <w:rFonts w:cs="Arial"/>
                <w:szCs w:val="24"/>
              </w:rPr>
              <w:t xml:space="preserve"> podpora při podpoře zaměstnanosti a kvalifikace pracovní síly, zejména </w:t>
            </w:r>
            <w:r w:rsidR="00B13614">
              <w:rPr>
                <w:rFonts w:cs="Arial"/>
                <w:szCs w:val="24"/>
              </w:rPr>
              <w:t xml:space="preserve"> ve </w:t>
            </w:r>
            <w:r w:rsidR="00B13614">
              <w:rPr>
                <w:rFonts w:cs="Arial"/>
                <w:szCs w:val="24"/>
              </w:rPr>
              <w:lastRenderedPageBreak/>
              <w:t>prospěch</w:t>
            </w:r>
            <w:r w:rsidRPr="00C605D8">
              <w:rPr>
                <w:rFonts w:cs="Arial"/>
                <w:szCs w:val="24"/>
              </w:rPr>
              <w:t xml:space="preserve"> znevýhodněných skupin osob.</w:t>
            </w:r>
          </w:p>
          <w:p w:rsidR="00CB2708" w:rsidRPr="00C605D8" w:rsidRDefault="00CB2708" w:rsidP="008D41BF">
            <w:pPr>
              <w:spacing w:after="200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Primární platformou pro posilování spolupráce na trhu práce, zejména v oblasti realizace politiky zaměstnanosti, jsou poradní sbory zřizované Úřadem práce ČR podle zákona č. 435/2004 Sb., zákona o zaměstnanosti.</w:t>
            </w:r>
          </w:p>
        </w:tc>
        <w:tc>
          <w:tcPr>
            <w:tcW w:w="954" w:type="dxa"/>
          </w:tcPr>
          <w:p w:rsidR="00635927" w:rsidRPr="00C605D8" w:rsidRDefault="00635927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lastRenderedPageBreak/>
              <w:t>MPSV</w:t>
            </w:r>
          </w:p>
        </w:tc>
        <w:tc>
          <w:tcPr>
            <w:tcW w:w="1030" w:type="dxa"/>
          </w:tcPr>
          <w:p w:rsidR="00635927" w:rsidRPr="00C605D8" w:rsidRDefault="00635927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NL</w:t>
            </w:r>
          </w:p>
        </w:tc>
        <w:tc>
          <w:tcPr>
            <w:tcW w:w="1496" w:type="dxa"/>
          </w:tcPr>
          <w:p w:rsidR="00635927" w:rsidRPr="00C605D8" w:rsidRDefault="00CB2708" w:rsidP="008D41BF">
            <w:pPr>
              <w:spacing w:after="200"/>
              <w:jc w:val="left"/>
              <w:rPr>
                <w:rFonts w:cs="Arial"/>
                <w:szCs w:val="24"/>
              </w:rPr>
            </w:pPr>
            <w:r w:rsidRPr="00C605D8">
              <w:rPr>
                <w:rFonts w:cs="Arial"/>
                <w:szCs w:val="24"/>
              </w:rPr>
              <w:t>průběžně</w:t>
            </w:r>
          </w:p>
        </w:tc>
      </w:tr>
    </w:tbl>
    <w:p w:rsidR="000078EC" w:rsidRPr="00C605D8" w:rsidRDefault="000078EC" w:rsidP="008D41BF">
      <w:pPr>
        <w:spacing w:after="200" w:line="240" w:lineRule="auto"/>
        <w:jc w:val="left"/>
        <w:rPr>
          <w:rFonts w:cs="Arial"/>
          <w:szCs w:val="24"/>
        </w:rPr>
        <w:sectPr w:rsidR="000078EC" w:rsidRPr="00C605D8" w:rsidSect="001433C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61007" w:rsidRPr="00363BBB" w:rsidRDefault="00761007" w:rsidP="00363BBB">
      <w:pPr>
        <w:pStyle w:val="Odstavecseseznamem"/>
        <w:numPr>
          <w:ilvl w:val="0"/>
          <w:numId w:val="6"/>
        </w:numPr>
        <w:spacing w:after="200" w:line="240" w:lineRule="auto"/>
        <w:jc w:val="left"/>
        <w:rPr>
          <w:rFonts w:cs="Arial"/>
          <w:b/>
          <w:szCs w:val="24"/>
        </w:rPr>
      </w:pPr>
      <w:r w:rsidRPr="00363BBB">
        <w:rPr>
          <w:rFonts w:cs="Arial"/>
          <w:b/>
          <w:szCs w:val="24"/>
        </w:rPr>
        <w:lastRenderedPageBreak/>
        <w:t>Akční plán</w:t>
      </w:r>
    </w:p>
    <w:p w:rsidR="000B588B" w:rsidRDefault="000B588B" w:rsidP="000B588B">
      <w:p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V případě, že budou plně implementována výše uvedená opatření, bude možné úspěšně provést uchazeče o zaměstnání kompletní přípravou na vstup na trh práce posilující mobilitu pracovní síly a optimalizující rozložení</w:t>
      </w:r>
      <w:r w:rsidR="003D2BE7">
        <w:rPr>
          <w:rFonts w:cs="Arial"/>
          <w:szCs w:val="24"/>
        </w:rPr>
        <w:t xml:space="preserve"> lidských zdrojů v regionální i </w:t>
      </w:r>
      <w:r>
        <w:rPr>
          <w:rFonts w:cs="Arial"/>
          <w:szCs w:val="24"/>
        </w:rPr>
        <w:t>celostátní ekonomice a maximalizovat tak dopady zprostředkovatelské činnosti služeb zaměstnanosti.</w:t>
      </w:r>
    </w:p>
    <w:p w:rsidR="000B588B" w:rsidRDefault="00183F59" w:rsidP="00A1351B">
      <w:pPr>
        <w:pStyle w:val="Odstavecseseznamem"/>
        <w:numPr>
          <w:ilvl w:val="0"/>
          <w:numId w:val="11"/>
        </w:num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U</w:t>
      </w:r>
      <w:r w:rsidR="000B588B">
        <w:rPr>
          <w:rFonts w:cs="Arial"/>
          <w:szCs w:val="24"/>
        </w:rPr>
        <w:t xml:space="preserve"> nově evidovaného uchazeče o zaměstnání dojde k vyhodnocení jeho stávajících pracovních zkušeností a kompetencí, vyhodnocena bude jeho kvalifikace, včetně možnosti využít této kvalifikace k novému pracovnímu uplatnění v daném </w:t>
      </w:r>
      <w:r>
        <w:rPr>
          <w:rFonts w:cs="Arial"/>
          <w:szCs w:val="24"/>
        </w:rPr>
        <w:t>regionu a čase. Tato část spadá do oblasti zvýšení efektivity zejména poradenských aktivit ÚP ČR</w:t>
      </w:r>
      <w:r w:rsidR="003D2BE7">
        <w:rPr>
          <w:rFonts w:cs="Arial"/>
          <w:szCs w:val="24"/>
        </w:rPr>
        <w:t>.</w:t>
      </w:r>
    </w:p>
    <w:p w:rsidR="003D2BE7" w:rsidRDefault="003D2BE7" w:rsidP="003D2BE7">
      <w:pPr>
        <w:pStyle w:val="Odstavecseseznamem"/>
        <w:spacing w:after="200" w:line="240" w:lineRule="auto"/>
        <w:rPr>
          <w:rFonts w:cs="Arial"/>
          <w:szCs w:val="24"/>
        </w:rPr>
      </w:pPr>
    </w:p>
    <w:p w:rsidR="000B588B" w:rsidRDefault="00183F59" w:rsidP="00363BBB">
      <w:pPr>
        <w:pStyle w:val="Odstavecseseznamem"/>
        <w:numPr>
          <w:ilvl w:val="0"/>
          <w:numId w:val="11"/>
        </w:num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0B588B">
        <w:rPr>
          <w:rFonts w:cs="Arial"/>
          <w:szCs w:val="24"/>
        </w:rPr>
        <w:t>a bázi aktivní spolupráce ÚP ČR a zaměstnavatelů bude monitorován trh práce</w:t>
      </w:r>
      <w:r>
        <w:rPr>
          <w:rFonts w:cs="Arial"/>
          <w:szCs w:val="24"/>
        </w:rPr>
        <w:t xml:space="preserve"> s ohledem na poptávané profese a kvalifikace, na základě tohoto monitoringu budou realizovány vhodné rekvalifikační kurzy umožňující efektivní spárování nabídky a poptávky na trhu práce. Zaměření rekvalifikačních kurzů musí být průběžně vyhodnocováno a konzultováno se zástupci zaměstnavatelů a přizpůsobováno jak poptávce po pracovní síle, tak disponibilním lidským zdrojům na regionální úrovni. Vyšší soulad v dlouhodobější perspektivě bude zabezpečen funkčním predikčním systémem. Uchazeč o zaměstnání bude směrován do vhodného rekvalifikačního kurzu, případně budou jeho další kompetence a kvalifikace rozvíjeny již při výkonu povolání na základě specifických požadavků zaměstnavatele. Tato činnost zaměstnavatelů bude nadále podporována prostřednictvím zaměstnanecké rekvalifikace či prostřednictvím specificky zaměřených projektů na oblast odborného rozvoje zaměstnanců a jejich zapracování (Záruky pro mládež, Podpora odborného vzdělávání zaměstnanců II).</w:t>
      </w:r>
    </w:p>
    <w:p w:rsidR="00746508" w:rsidRPr="00746508" w:rsidRDefault="00746508" w:rsidP="00A1351B">
      <w:pPr>
        <w:pStyle w:val="Odstavecseseznamem"/>
        <w:rPr>
          <w:rFonts w:cs="Arial"/>
          <w:szCs w:val="24"/>
        </w:rPr>
      </w:pPr>
    </w:p>
    <w:p w:rsidR="00183F59" w:rsidRDefault="00183F59" w:rsidP="00363BBB">
      <w:pPr>
        <w:pStyle w:val="Odstavecseseznamem"/>
        <w:numPr>
          <w:ilvl w:val="0"/>
          <w:numId w:val="11"/>
        </w:num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Nastavení jasných pravidel pro využívání tzv. „nekolidujícího“ zaměstnání zabezpečí opětovný návrat ke smyslu jeho využívání – krátkodobé možnosti přivýdělku při nezaměstnanosti, nikoliv nahrazování standardního a trvalého pracovního vztahu. Uchazeči o zaměstnání tak bude ponechána možnost přivýdělku, zároveň však nedojde ke ztrátě motivace hledat trvalé pracovní uplatnění standardním způsobem. Motivace uchazečů o zaměstnání k přijetí vhodných pracovních nabídek bude podpořena postupným</w:t>
      </w:r>
      <w:r w:rsidR="00746508">
        <w:rPr>
          <w:rFonts w:cs="Arial"/>
          <w:szCs w:val="24"/>
        </w:rPr>
        <w:t xml:space="preserve"> dalším rozevíráním rozdílů mezi příjmem sociálním a příjmem ze zaměstnání.</w:t>
      </w:r>
      <w:r w:rsidR="00A1351B">
        <w:rPr>
          <w:rFonts w:cs="Arial"/>
          <w:szCs w:val="24"/>
        </w:rPr>
        <w:t xml:space="preserve"> Po vyhodnocení možného uplatnění na trhu práce, absolvování vhodné rekvalifikace bude tedy uchazeč o zaměstnání nejenom připraven, ale rovněž motivován ke vstupu na trh práce.</w:t>
      </w:r>
    </w:p>
    <w:p w:rsidR="00746508" w:rsidRPr="00746508" w:rsidRDefault="00746508" w:rsidP="00746508">
      <w:pPr>
        <w:spacing w:after="200" w:line="240" w:lineRule="auto"/>
        <w:rPr>
          <w:rFonts w:cs="Arial"/>
          <w:szCs w:val="24"/>
        </w:rPr>
      </w:pPr>
    </w:p>
    <w:p w:rsidR="001433C6" w:rsidRDefault="000078EC" w:rsidP="003D2BE7">
      <w:pPr>
        <w:spacing w:line="240" w:lineRule="auto"/>
        <w:jc w:val="left"/>
        <w:rPr>
          <w:rFonts w:cs="Arial"/>
          <w:szCs w:val="24"/>
        </w:rPr>
      </w:pPr>
      <w:r w:rsidRPr="003D2BE7">
        <w:rPr>
          <w:rFonts w:cs="Arial"/>
          <w:b/>
          <w:szCs w:val="24"/>
          <w:u w:val="single"/>
        </w:rPr>
        <w:t>Přílohy</w:t>
      </w:r>
      <w:r w:rsidRPr="00C605D8">
        <w:rPr>
          <w:rFonts w:cs="Arial"/>
          <w:b/>
          <w:szCs w:val="24"/>
        </w:rPr>
        <w:t>:</w:t>
      </w:r>
    </w:p>
    <w:p w:rsidR="003D2BE7" w:rsidRDefault="006C17ED" w:rsidP="003D2BE7">
      <w:pPr>
        <w:spacing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Příloha č. 1:</w:t>
      </w:r>
      <w:r>
        <w:rPr>
          <w:rFonts w:cs="Arial"/>
          <w:szCs w:val="24"/>
        </w:rPr>
        <w:tab/>
      </w:r>
      <w:r w:rsidR="003D2BE7" w:rsidRPr="003D2BE7">
        <w:rPr>
          <w:rFonts w:cs="Arial"/>
          <w:szCs w:val="24"/>
        </w:rPr>
        <w:t>Nabídka a poptávka v krajích ČR k 31. 12. 2015</w:t>
      </w:r>
    </w:p>
    <w:p w:rsidR="006C17ED" w:rsidRDefault="003D2BE7" w:rsidP="006C17ED">
      <w:pPr>
        <w:spacing w:line="240" w:lineRule="auto"/>
        <w:ind w:left="1418" w:hanging="1418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Příloha č. 2: </w:t>
      </w:r>
      <w:r w:rsidR="006C17ED">
        <w:rPr>
          <w:rFonts w:cs="Arial"/>
          <w:szCs w:val="24"/>
        </w:rPr>
        <w:tab/>
      </w:r>
      <w:r w:rsidRPr="003D2BE7">
        <w:rPr>
          <w:rFonts w:cs="Arial"/>
          <w:szCs w:val="24"/>
        </w:rPr>
        <w:t>Absolventi škol v evidenci ÚP ČR podle kategorií vzdělání a skupin oborů k 30. 9. 2015</w:t>
      </w:r>
    </w:p>
    <w:p w:rsidR="006C17ED" w:rsidRPr="003D2BE7" w:rsidRDefault="006C17ED" w:rsidP="006C17ED">
      <w:pPr>
        <w:spacing w:line="240" w:lineRule="auto"/>
        <w:ind w:left="1418" w:hanging="1418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Příloha č. 3: </w:t>
      </w:r>
      <w:r>
        <w:rPr>
          <w:rFonts w:cs="Arial"/>
          <w:szCs w:val="24"/>
        </w:rPr>
        <w:tab/>
      </w:r>
      <w:r w:rsidRPr="006C17ED">
        <w:rPr>
          <w:rFonts w:cs="Arial"/>
          <w:szCs w:val="24"/>
        </w:rPr>
        <w:t>Vývoj struktury uchazečů o zaměstnání</w:t>
      </w:r>
    </w:p>
    <w:sectPr w:rsidR="006C17ED" w:rsidRPr="003D2BE7" w:rsidSect="0000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15" w:rsidRDefault="00230515" w:rsidP="0000359B">
      <w:pPr>
        <w:spacing w:line="240" w:lineRule="auto"/>
      </w:pPr>
      <w:r>
        <w:separator/>
      </w:r>
    </w:p>
  </w:endnote>
  <w:endnote w:type="continuationSeparator" w:id="0">
    <w:p w:rsidR="00230515" w:rsidRDefault="00230515" w:rsidP="00003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37274"/>
      <w:docPartObj>
        <w:docPartGallery w:val="Page Numbers (Bottom of Page)"/>
        <w:docPartUnique/>
      </w:docPartObj>
    </w:sdtPr>
    <w:sdtContent>
      <w:p w:rsidR="002F481E" w:rsidRDefault="00F11E6A">
        <w:pPr>
          <w:pStyle w:val="Zpat"/>
          <w:jc w:val="center"/>
        </w:pPr>
        <w:r>
          <w:fldChar w:fldCharType="begin"/>
        </w:r>
        <w:r w:rsidR="002F481E">
          <w:instrText>PAGE   \* MERGEFORMAT</w:instrText>
        </w:r>
        <w:r>
          <w:fldChar w:fldCharType="separate"/>
        </w:r>
        <w:r w:rsidR="00BF2F5A">
          <w:rPr>
            <w:noProof/>
          </w:rPr>
          <w:t>2</w:t>
        </w:r>
        <w:r>
          <w:fldChar w:fldCharType="end"/>
        </w:r>
      </w:p>
    </w:sdtContent>
  </w:sdt>
  <w:p w:rsidR="002F481E" w:rsidRDefault="002F481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15" w:rsidRDefault="00230515" w:rsidP="0000359B">
      <w:pPr>
        <w:spacing w:line="240" w:lineRule="auto"/>
      </w:pPr>
      <w:r>
        <w:separator/>
      </w:r>
    </w:p>
  </w:footnote>
  <w:footnote w:type="continuationSeparator" w:id="0">
    <w:p w:rsidR="00230515" w:rsidRDefault="00230515" w:rsidP="0000359B">
      <w:pPr>
        <w:spacing w:line="240" w:lineRule="auto"/>
      </w:pPr>
      <w:r>
        <w:continuationSeparator/>
      </w:r>
    </w:p>
  </w:footnote>
  <w:footnote w:id="1">
    <w:p w:rsidR="002F481E" w:rsidRDefault="002F481E">
      <w:pPr>
        <w:pStyle w:val="Textpoznpodarou"/>
      </w:pPr>
      <w:r>
        <w:rPr>
          <w:rStyle w:val="Znakapoznpodarou"/>
        </w:rPr>
        <w:footnoteRef/>
      </w:r>
      <w:r>
        <w:t xml:space="preserve"> v tom 3 822 uchazečů o zaměstnání do 18 let věku</w:t>
      </w:r>
    </w:p>
  </w:footnote>
  <w:footnote w:id="2">
    <w:p w:rsidR="002F481E" w:rsidRDefault="002F481E" w:rsidP="007805AB">
      <w:pPr>
        <w:pStyle w:val="Textpoznpodarou"/>
      </w:pPr>
      <w:r>
        <w:rPr>
          <w:rStyle w:val="Znakapoznpodarou"/>
        </w:rPr>
        <w:footnoteRef/>
      </w:r>
      <w:r>
        <w:t xml:space="preserve"> v této souvislosti je mírou nezaměstnanosti míněn podíl nezaměstnaných osob na celkovém objemu pracovní síly, nejedná se tedy o konkrétní metodu měření tohoto ukazatele (nejedná se tedy ani o vyjádření obecné míry nezaměstnanosti – ILO a ČSÚ, ani o podíl nezaměstnaných osob – MPSV)</w:t>
      </w:r>
    </w:p>
  </w:footnote>
  <w:footnote w:id="3">
    <w:p w:rsidR="002F481E" w:rsidRDefault="002F481E" w:rsidP="007805AB">
      <w:pPr>
        <w:pStyle w:val="Textpoznpodarou"/>
      </w:pPr>
      <w:r>
        <w:rPr>
          <w:rStyle w:val="Znakapoznpodarou"/>
        </w:rPr>
        <w:footnoteRef/>
      </w:r>
      <w:r>
        <w:t xml:space="preserve"> sociální systém v ČR nelze považovat za tak štědrý jako v zemích západní Evropy, nicméně je nutné zohlednit dlouhodobě zvýšenou nezaměstnanost v důsledku hospodářské krize.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7772"/>
    <w:multiLevelType w:val="hybridMultilevel"/>
    <w:tmpl w:val="B5448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3593"/>
    <w:multiLevelType w:val="hybridMultilevel"/>
    <w:tmpl w:val="CFBC0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0069"/>
    <w:multiLevelType w:val="hybridMultilevel"/>
    <w:tmpl w:val="2370FF2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4917E4"/>
    <w:multiLevelType w:val="multilevel"/>
    <w:tmpl w:val="F81E181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4">
    <w:nsid w:val="51166E77"/>
    <w:multiLevelType w:val="hybridMultilevel"/>
    <w:tmpl w:val="E572EE2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992979"/>
    <w:multiLevelType w:val="hybridMultilevel"/>
    <w:tmpl w:val="B08A514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C051D"/>
    <w:multiLevelType w:val="hybridMultilevel"/>
    <w:tmpl w:val="CF0C8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33D4B"/>
    <w:multiLevelType w:val="hybridMultilevel"/>
    <w:tmpl w:val="50C4C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F0A94"/>
    <w:multiLevelType w:val="hybridMultilevel"/>
    <w:tmpl w:val="3CC81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B324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DC2"/>
    <w:rsid w:val="0000359B"/>
    <w:rsid w:val="000078EC"/>
    <w:rsid w:val="000131FF"/>
    <w:rsid w:val="00035E91"/>
    <w:rsid w:val="00056D3E"/>
    <w:rsid w:val="000626D5"/>
    <w:rsid w:val="000724B4"/>
    <w:rsid w:val="00083A7D"/>
    <w:rsid w:val="00092E70"/>
    <w:rsid w:val="00095AE2"/>
    <w:rsid w:val="000B588B"/>
    <w:rsid w:val="000E0C7B"/>
    <w:rsid w:val="000E5892"/>
    <w:rsid w:val="000E66C4"/>
    <w:rsid w:val="00105F6F"/>
    <w:rsid w:val="00135E5B"/>
    <w:rsid w:val="001433C6"/>
    <w:rsid w:val="00157D44"/>
    <w:rsid w:val="00165814"/>
    <w:rsid w:val="0017476D"/>
    <w:rsid w:val="00182B6B"/>
    <w:rsid w:val="00183F59"/>
    <w:rsid w:val="001A4A7D"/>
    <w:rsid w:val="001C6B01"/>
    <w:rsid w:val="001C740B"/>
    <w:rsid w:val="001F6AD5"/>
    <w:rsid w:val="00205D3B"/>
    <w:rsid w:val="002240CE"/>
    <w:rsid w:val="00230515"/>
    <w:rsid w:val="002444D6"/>
    <w:rsid w:val="00261D0F"/>
    <w:rsid w:val="002628BE"/>
    <w:rsid w:val="002A2E9D"/>
    <w:rsid w:val="002A7166"/>
    <w:rsid w:val="002C4120"/>
    <w:rsid w:val="002D0316"/>
    <w:rsid w:val="002D7DC2"/>
    <w:rsid w:val="002E713D"/>
    <w:rsid w:val="002F481E"/>
    <w:rsid w:val="003020BF"/>
    <w:rsid w:val="00360413"/>
    <w:rsid w:val="00363BBB"/>
    <w:rsid w:val="00392FA5"/>
    <w:rsid w:val="003A46E7"/>
    <w:rsid w:val="003D2BE7"/>
    <w:rsid w:val="00410C85"/>
    <w:rsid w:val="00411D9A"/>
    <w:rsid w:val="00413540"/>
    <w:rsid w:val="00413769"/>
    <w:rsid w:val="00434D05"/>
    <w:rsid w:val="0044013B"/>
    <w:rsid w:val="0046428B"/>
    <w:rsid w:val="00465499"/>
    <w:rsid w:val="004763DE"/>
    <w:rsid w:val="00481C2D"/>
    <w:rsid w:val="00497449"/>
    <w:rsid w:val="004C5055"/>
    <w:rsid w:val="004C7874"/>
    <w:rsid w:val="004D28E9"/>
    <w:rsid w:val="004F3CD1"/>
    <w:rsid w:val="00501C60"/>
    <w:rsid w:val="005563C4"/>
    <w:rsid w:val="005849C9"/>
    <w:rsid w:val="005B3676"/>
    <w:rsid w:val="005C01AA"/>
    <w:rsid w:val="005C26D6"/>
    <w:rsid w:val="005D7369"/>
    <w:rsid w:val="0061488C"/>
    <w:rsid w:val="00625786"/>
    <w:rsid w:val="00635927"/>
    <w:rsid w:val="00644202"/>
    <w:rsid w:val="00650560"/>
    <w:rsid w:val="00655C77"/>
    <w:rsid w:val="006804C0"/>
    <w:rsid w:val="006A4E76"/>
    <w:rsid w:val="006B14CE"/>
    <w:rsid w:val="006C17ED"/>
    <w:rsid w:val="006F370F"/>
    <w:rsid w:val="00731744"/>
    <w:rsid w:val="00746508"/>
    <w:rsid w:val="00761007"/>
    <w:rsid w:val="007774E6"/>
    <w:rsid w:val="007805AB"/>
    <w:rsid w:val="00797574"/>
    <w:rsid w:val="007A6F52"/>
    <w:rsid w:val="007B7697"/>
    <w:rsid w:val="007C5CF2"/>
    <w:rsid w:val="007D5712"/>
    <w:rsid w:val="007E6217"/>
    <w:rsid w:val="007F297A"/>
    <w:rsid w:val="007F5B45"/>
    <w:rsid w:val="00831BBC"/>
    <w:rsid w:val="0083375F"/>
    <w:rsid w:val="008523B5"/>
    <w:rsid w:val="00854553"/>
    <w:rsid w:val="0089103B"/>
    <w:rsid w:val="008C0148"/>
    <w:rsid w:val="008D200F"/>
    <w:rsid w:val="008D2452"/>
    <w:rsid w:val="008D32A2"/>
    <w:rsid w:val="008D41BF"/>
    <w:rsid w:val="008E1B6B"/>
    <w:rsid w:val="008F1EBE"/>
    <w:rsid w:val="009275DD"/>
    <w:rsid w:val="00966099"/>
    <w:rsid w:val="00976666"/>
    <w:rsid w:val="009B0B75"/>
    <w:rsid w:val="009C5C6A"/>
    <w:rsid w:val="009F3875"/>
    <w:rsid w:val="00A12465"/>
    <w:rsid w:val="00A1351B"/>
    <w:rsid w:val="00A34852"/>
    <w:rsid w:val="00AA7A14"/>
    <w:rsid w:val="00AB77E3"/>
    <w:rsid w:val="00AC68A4"/>
    <w:rsid w:val="00AC6C5C"/>
    <w:rsid w:val="00B019C4"/>
    <w:rsid w:val="00B11E53"/>
    <w:rsid w:val="00B13614"/>
    <w:rsid w:val="00B41B99"/>
    <w:rsid w:val="00B61B93"/>
    <w:rsid w:val="00BA4913"/>
    <w:rsid w:val="00BC0ED9"/>
    <w:rsid w:val="00BC30E5"/>
    <w:rsid w:val="00BC4564"/>
    <w:rsid w:val="00BC7391"/>
    <w:rsid w:val="00BE79D9"/>
    <w:rsid w:val="00BF2F5A"/>
    <w:rsid w:val="00C0122C"/>
    <w:rsid w:val="00C175E1"/>
    <w:rsid w:val="00C26B21"/>
    <w:rsid w:val="00C43D41"/>
    <w:rsid w:val="00C4414F"/>
    <w:rsid w:val="00C44BFF"/>
    <w:rsid w:val="00C605D8"/>
    <w:rsid w:val="00C671E8"/>
    <w:rsid w:val="00CA6F34"/>
    <w:rsid w:val="00CB04A0"/>
    <w:rsid w:val="00CB2708"/>
    <w:rsid w:val="00CB6706"/>
    <w:rsid w:val="00CC15DF"/>
    <w:rsid w:val="00CD44EC"/>
    <w:rsid w:val="00CD4E07"/>
    <w:rsid w:val="00CD7A08"/>
    <w:rsid w:val="00CF747D"/>
    <w:rsid w:val="00D808F8"/>
    <w:rsid w:val="00D9474E"/>
    <w:rsid w:val="00DA64C2"/>
    <w:rsid w:val="00DC72F9"/>
    <w:rsid w:val="00DD1FDE"/>
    <w:rsid w:val="00DD488D"/>
    <w:rsid w:val="00DD7FAC"/>
    <w:rsid w:val="00DF47B1"/>
    <w:rsid w:val="00DF6843"/>
    <w:rsid w:val="00E1434F"/>
    <w:rsid w:val="00E42FFE"/>
    <w:rsid w:val="00E778E5"/>
    <w:rsid w:val="00E807ED"/>
    <w:rsid w:val="00E87523"/>
    <w:rsid w:val="00EA569E"/>
    <w:rsid w:val="00EB4812"/>
    <w:rsid w:val="00ED7DE4"/>
    <w:rsid w:val="00EF5DCC"/>
    <w:rsid w:val="00F0133A"/>
    <w:rsid w:val="00F03D56"/>
    <w:rsid w:val="00F049EE"/>
    <w:rsid w:val="00F11E6A"/>
    <w:rsid w:val="00F216F9"/>
    <w:rsid w:val="00F25C67"/>
    <w:rsid w:val="00F65933"/>
    <w:rsid w:val="00F73A71"/>
    <w:rsid w:val="00F86469"/>
    <w:rsid w:val="00F93B2A"/>
    <w:rsid w:val="00F94DCA"/>
    <w:rsid w:val="00F95D8B"/>
    <w:rsid w:val="00FB3066"/>
    <w:rsid w:val="00FB49B8"/>
    <w:rsid w:val="00FD0406"/>
    <w:rsid w:val="00F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4EC"/>
    <w:pPr>
      <w:ind w:left="720"/>
      <w:contextualSpacing/>
    </w:pPr>
  </w:style>
  <w:style w:type="table" w:styleId="Mkatabulky">
    <w:name w:val="Table Grid"/>
    <w:basedOn w:val="Normlntabulka"/>
    <w:uiPriority w:val="59"/>
    <w:rsid w:val="0014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znam">
    <w:name w:val="List"/>
    <w:basedOn w:val="Normln"/>
    <w:uiPriority w:val="99"/>
    <w:unhideWhenUsed/>
    <w:rsid w:val="00D808F8"/>
    <w:pPr>
      <w:spacing w:line="240" w:lineRule="auto"/>
      <w:ind w:left="283" w:hanging="283"/>
      <w:jc w:val="left"/>
    </w:pPr>
    <w:rPr>
      <w:rFonts w:ascii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808F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808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8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8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59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003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59B"/>
    <w:rPr>
      <w:rFonts w:ascii="Arial" w:hAnsi="Arial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A7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A1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A14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100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1007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1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4EC"/>
    <w:pPr>
      <w:ind w:left="720"/>
      <w:contextualSpacing/>
    </w:pPr>
  </w:style>
  <w:style w:type="table" w:styleId="Mkatabulky">
    <w:name w:val="Table Grid"/>
    <w:basedOn w:val="Normlntabulka"/>
    <w:uiPriority w:val="59"/>
    <w:rsid w:val="0014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uiPriority w:val="99"/>
    <w:unhideWhenUsed/>
    <w:rsid w:val="00D808F8"/>
    <w:pPr>
      <w:spacing w:line="240" w:lineRule="auto"/>
      <w:ind w:left="283" w:hanging="283"/>
      <w:jc w:val="left"/>
    </w:pPr>
    <w:rPr>
      <w:rFonts w:ascii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808F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808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8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8F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3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59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003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59B"/>
    <w:rPr>
      <w:rFonts w:ascii="Arial" w:hAnsi="Arial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A7A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A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A14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A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A14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100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1007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10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ProchazkovaE\Anal&#253;zy%20zam%20nezam_podklady\2015\tabulky_nezam_2015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143_statistiky\45\STATISTIKY\casove%20rady\Qstatistika\QCASRAok28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143_statistiky\45\STATISTIKY\casove%20rady\Qstatistika\QCASRAok28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podklady\Nab&#237;dka%20a%20popt&#225;vka_pro%20PM%20-%20absolventi%20-%20obory\kategorie%20vzd&#283;l&#225;n&#237;_absolventi%20a%20uchaze&#269;i%20celkem_30_9_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podklady\Nab&#237;dka%20a%20popt&#225;vka_pro%20PM%20-%20absolventi%20-%20obory\kategorie%20vzd&#283;l&#225;n&#237;_absolventi%20a%20uchaze&#269;i%20celkem_30_9_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Dudek%20Pavel\Anal&#253;za%20nab&#237;dky%20a%20popt&#225;vky%202015\&#250;nor%202016\aktualizace%20&#250;nor\Se&#353;it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ANAL&#221;ZA%20ZAM&#282;STNANOSTI%20A%20NEZAM&#282;STNANOSTI\1pol_2015\tabulky_grafy_p&#345;&#237;lohy\grafy%20mezin&#225;r%20srovn&#225;n&#237;_1p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mpa-cls3-spoldisk\spoldisk\SD_o410\o411\SebestovaL\ANAL&#221;ZA%20ZAM&#282;STNANOSTI%20A%20NEZAM&#282;STNANOSTI\1pol_2015\tabulky_grafy_p&#345;&#237;lohy\grafy%20mezin&#225;r%20srovn&#225;n&#237;_1p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Uchazeči o zaměstnání na 1 </a:t>
            </a:r>
            <a:r>
              <a:rPr lang="en-US" sz="1400"/>
              <a:t>VPM</a:t>
            </a:r>
            <a:r>
              <a:rPr lang="cs-CZ" sz="1400"/>
              <a:t> </a:t>
            </a:r>
          </a:p>
          <a:p>
            <a:pPr>
              <a:defRPr/>
            </a:pPr>
            <a:r>
              <a:rPr lang="cs-CZ" sz="1200"/>
              <a:t>podle krajů k 31. 12. 2015</a:t>
            </a:r>
            <a:endParaRPr lang="en-US" sz="1200"/>
          </a:p>
        </c:rich>
      </c:tx>
    </c:title>
    <c:plotArea>
      <c:layout>
        <c:manualLayout>
          <c:layoutTarget val="inner"/>
          <c:xMode val="edge"/>
          <c:yMode val="edge"/>
          <c:x val="7.366527203901492E-2"/>
          <c:y val="0.1873261244262"/>
          <c:w val="0.90213230771896047"/>
          <c:h val="0.58830048202904017"/>
        </c:manualLayout>
      </c:layout>
      <c:barChart>
        <c:barDir val="col"/>
        <c:grouping val="clustered"/>
        <c:ser>
          <c:idx val="1"/>
          <c:order val="0"/>
          <c:tx>
            <c:strRef>
              <c:f>'tab. 22 regiony'!$J$3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Pt>
            <c:idx val="14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Lbls>
            <c:txPr>
              <a:bodyPr/>
              <a:lstStyle/>
              <a:p>
                <a:pPr>
                  <a:defRPr sz="900" b="1"/>
                </a:pPr>
                <a:endParaRPr lang="cs-CZ"/>
              </a:p>
            </c:txPr>
            <c:showVal val="1"/>
          </c:dLbls>
          <c:cat>
            <c:strRef>
              <c:f>'tab. 22 regiony'!$B$5:$B$19</c:f>
              <c:strCache>
                <c:ptCount val="15"/>
                <c:pt idx="0">
                  <c:v>Hl. m. Praha</c:v>
                </c:pt>
                <c:pt idx="1">
                  <c:v>Středočeský kraj</c:v>
                </c:pt>
                <c:pt idx="2">
                  <c:v>Jihočeský kraj</c:v>
                </c:pt>
                <c:pt idx="3">
                  <c:v>Plzeňský kraj</c:v>
                </c:pt>
                <c:pt idx="4">
                  <c:v>Karlovarský kraj</c:v>
                </c:pt>
                <c:pt idx="5">
                  <c:v>Ústecký kraj</c:v>
                </c:pt>
                <c:pt idx="6">
                  <c:v>Liberecký kraj</c:v>
                </c:pt>
                <c:pt idx="7">
                  <c:v>Královéhradecký kraj</c:v>
                </c:pt>
                <c:pt idx="8">
                  <c:v>Pardubický kraj</c:v>
                </c:pt>
                <c:pt idx="9">
                  <c:v>Kraj Vysočina</c:v>
                </c:pt>
                <c:pt idx="10">
                  <c:v>Jihomoravský kraj</c:v>
                </c:pt>
                <c:pt idx="11">
                  <c:v>Olomoucký kraj</c:v>
                </c:pt>
                <c:pt idx="12">
                  <c:v>Zlínsky kraj</c:v>
                </c:pt>
                <c:pt idx="13">
                  <c:v>Moravskoslezský kraj</c:v>
                </c:pt>
                <c:pt idx="14">
                  <c:v>Celkem ČR</c:v>
                </c:pt>
              </c:strCache>
            </c:strRef>
          </c:cat>
          <c:val>
            <c:numRef>
              <c:f>'tab. 22 regiony'!$N$5:$N$19</c:f>
              <c:numCache>
                <c:formatCode>0.0</c:formatCode>
                <c:ptCount val="15"/>
                <c:pt idx="0">
                  <c:v>2.4785562067128395</c:v>
                </c:pt>
                <c:pt idx="1">
                  <c:v>3.5497011290679654</c:v>
                </c:pt>
                <c:pt idx="2">
                  <c:v>3.2876073976991411</c:v>
                </c:pt>
                <c:pt idx="3">
                  <c:v>2.1975644360368878</c:v>
                </c:pt>
                <c:pt idx="4">
                  <c:v>4.5456209948123316</c:v>
                </c:pt>
                <c:pt idx="5">
                  <c:v>9.0707395498392351</c:v>
                </c:pt>
                <c:pt idx="6">
                  <c:v>3.2801412476879124</c:v>
                </c:pt>
                <c:pt idx="7">
                  <c:v>4.7238046795523889</c:v>
                </c:pt>
                <c:pt idx="8">
                  <c:v>2.9304474708171195</c:v>
                </c:pt>
                <c:pt idx="9">
                  <c:v>5.9275362318840559</c:v>
                </c:pt>
                <c:pt idx="10">
                  <c:v>6.9200938619241716</c:v>
                </c:pt>
                <c:pt idx="11">
                  <c:v>5.253382949932341</c:v>
                </c:pt>
                <c:pt idx="12">
                  <c:v>4.1091222030981074</c:v>
                </c:pt>
                <c:pt idx="13">
                  <c:v>7.0295428128632311</c:v>
                </c:pt>
                <c:pt idx="14">
                  <c:v>4.418723487249502</c:v>
                </c:pt>
              </c:numCache>
            </c:numRef>
          </c:val>
        </c:ser>
        <c:gapWidth val="88"/>
        <c:axId val="135341952"/>
        <c:axId val="135343488"/>
      </c:barChart>
      <c:catAx>
        <c:axId val="1353419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5343488"/>
        <c:crosses val="autoZero"/>
        <c:auto val="1"/>
        <c:lblAlgn val="ctr"/>
        <c:lblOffset val="100"/>
      </c:catAx>
      <c:valAx>
        <c:axId val="13534348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crossAx val="135341952"/>
        <c:crosses val="autoZero"/>
        <c:crossBetween val="between"/>
        <c:majorUnit val="5"/>
      </c:valAx>
      <c:spPr>
        <a:ln>
          <a:solidFill>
            <a:schemeClr val="tx2"/>
          </a:solidFill>
        </a:ln>
      </c:spPr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Počet uchazečů o zaměstnání na 1 VPM</a:t>
            </a:r>
          </a:p>
          <a:p>
            <a:pPr>
              <a:defRPr/>
            </a:pPr>
            <a:r>
              <a:rPr lang="cs-CZ" sz="1200"/>
              <a:t>podle kategorií zaměstnání </a:t>
            </a:r>
          </a:p>
        </c:rich>
      </c:tx>
    </c:title>
    <c:plotArea>
      <c:layout>
        <c:manualLayout>
          <c:layoutTarget val="inner"/>
          <c:xMode val="edge"/>
          <c:yMode val="edge"/>
          <c:x val="0.1064328521434821"/>
          <c:y val="0.19480351414406533"/>
          <c:w val="0.86301159230096258"/>
          <c:h val="0.62293744531933515"/>
        </c:manualLayout>
      </c:layout>
      <c:barChart>
        <c:barDir val="col"/>
        <c:grouping val="clustered"/>
        <c:ser>
          <c:idx val="1"/>
          <c:order val="0"/>
          <c:tx>
            <c:strRef>
              <c:f>celkem!$AJ$4</c:f>
              <c:strCache>
                <c:ptCount val="1"/>
                <c:pt idx="0">
                  <c:v>31.12.06</c:v>
                </c:pt>
              </c:strCache>
            </c:strRef>
          </c:tx>
          <c:dLbls>
            <c:numFmt formatCode="#,##0.0" sourceLinked="0"/>
            <c:txPr>
              <a:bodyPr/>
              <a:lstStyle/>
              <a:p>
                <a:pPr>
                  <a:defRPr sz="900"/>
                </a:pPr>
                <a:endParaRPr lang="cs-CZ"/>
              </a:p>
            </c:txPr>
            <c:showVal val="1"/>
          </c:dLbls>
          <c:cat>
            <c:strRef>
              <c:f>celkem!$A$176:$A$184</c:f>
              <c:strCache>
                <c:ptCount val="9"/>
                <c:pt idx="0">
                  <c:v>Zákonodárci a říd. prac.</c:v>
                </c:pt>
                <c:pt idx="1">
                  <c:v>Specialisté</c:v>
                </c:pt>
                <c:pt idx="2">
                  <c:v>Techn. a odb. pracovníci </c:v>
                </c:pt>
                <c:pt idx="3">
                  <c:v>Úředníci </c:v>
                </c:pt>
                <c:pt idx="4">
                  <c:v>Prac. ve službách a prodeji </c:v>
                </c:pt>
                <c:pt idx="5">
                  <c:v>Kval. dělníci v zemědělství</c:v>
                </c:pt>
                <c:pt idx="6">
                  <c:v>Řemeslníci a opraváři </c:v>
                </c:pt>
                <c:pt idx="7">
                  <c:v>Obsluha strojů a zařízení </c:v>
                </c:pt>
                <c:pt idx="8">
                  <c:v>Pomoc. a nekval. pracovníci</c:v>
                </c:pt>
              </c:strCache>
            </c:strRef>
          </c:cat>
          <c:val>
            <c:numRef>
              <c:f>celkem!$AJ$176:$AJ$184</c:f>
              <c:numCache>
                <c:formatCode>0.0</c:formatCode>
                <c:ptCount val="9"/>
                <c:pt idx="0">
                  <c:v>2.5260989010989001</c:v>
                </c:pt>
                <c:pt idx="1">
                  <c:v>3.7023809523809543</c:v>
                </c:pt>
                <c:pt idx="2">
                  <c:v>3.6568041814448375</c:v>
                </c:pt>
                <c:pt idx="3">
                  <c:v>9.7015566290928614</c:v>
                </c:pt>
                <c:pt idx="4">
                  <c:v>8.6681023873984699</c:v>
                </c:pt>
                <c:pt idx="5">
                  <c:v>8.8256070640176638</c:v>
                </c:pt>
                <c:pt idx="6">
                  <c:v>2.1539026336791687</c:v>
                </c:pt>
                <c:pt idx="7">
                  <c:v>1.7793896948474233</c:v>
                </c:pt>
                <c:pt idx="8">
                  <c:v>9.107575015737563</c:v>
                </c:pt>
              </c:numCache>
            </c:numRef>
          </c:val>
        </c:ser>
        <c:ser>
          <c:idx val="0"/>
          <c:order val="1"/>
          <c:tx>
            <c:strRef>
              <c:f>celkem!$CJ$4</c:f>
              <c:strCache>
                <c:ptCount val="1"/>
                <c:pt idx="0">
                  <c:v>31.12.15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dLbl>
              <c:idx val="1"/>
              <c:layout>
                <c:manualLayout>
                  <c:x val="0"/>
                  <c:y val="1.6750418760469017E-2"/>
                </c:manualLayout>
              </c:layout>
              <c:showVal val="1"/>
            </c:dLbl>
            <c:dLbl>
              <c:idx val="2"/>
              <c:layout>
                <c:manualLayout>
                  <c:x val="3.9299295921862437E-17"/>
                  <c:y val="1.0050251256281407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2.010050251256288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6.7001675041876091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cs-CZ"/>
              </a:p>
            </c:txPr>
            <c:showVal val="1"/>
          </c:dLbls>
          <c:cat>
            <c:strRef>
              <c:f>celkem!$A$176:$A$184</c:f>
              <c:strCache>
                <c:ptCount val="9"/>
                <c:pt idx="0">
                  <c:v>Zákonodárci a říd. prac.</c:v>
                </c:pt>
                <c:pt idx="1">
                  <c:v>Specialisté</c:v>
                </c:pt>
                <c:pt idx="2">
                  <c:v>Techn. a odb. pracovníci </c:v>
                </c:pt>
                <c:pt idx="3">
                  <c:v>Úředníci </c:v>
                </c:pt>
                <c:pt idx="4">
                  <c:v>Prac. ve službách a prodeji </c:v>
                </c:pt>
                <c:pt idx="5">
                  <c:v>Kval. dělníci v zemědělství</c:v>
                </c:pt>
                <c:pt idx="6">
                  <c:v>Řemeslníci a opraváři </c:v>
                </c:pt>
                <c:pt idx="7">
                  <c:v>Obsluha strojů a zařízení </c:v>
                </c:pt>
                <c:pt idx="8">
                  <c:v>Pomoc. a nekval. pracovníci</c:v>
                </c:pt>
              </c:strCache>
            </c:strRef>
          </c:cat>
          <c:val>
            <c:numRef>
              <c:f>celkem!$CJ$176:$CJ$184</c:f>
              <c:numCache>
                <c:formatCode>0.0</c:formatCode>
                <c:ptCount val="9"/>
                <c:pt idx="0">
                  <c:v>4.2578723404255303</c:v>
                </c:pt>
                <c:pt idx="1">
                  <c:v>3.0189177910696898</c:v>
                </c:pt>
                <c:pt idx="2">
                  <c:v>3.2506276150627613</c:v>
                </c:pt>
                <c:pt idx="3">
                  <c:v>10.656418446795767</c:v>
                </c:pt>
                <c:pt idx="4">
                  <c:v>5.5616947324264396</c:v>
                </c:pt>
                <c:pt idx="5">
                  <c:v>10.507992895204266</c:v>
                </c:pt>
                <c:pt idx="6">
                  <c:v>2.8620485224370658</c:v>
                </c:pt>
                <c:pt idx="7">
                  <c:v>2.0252192462668881</c:v>
                </c:pt>
                <c:pt idx="8">
                  <c:v>6.7799022503893873</c:v>
                </c:pt>
              </c:numCache>
            </c:numRef>
          </c:val>
        </c:ser>
        <c:gapWidth val="68"/>
        <c:axId val="138704768"/>
        <c:axId val="138706304"/>
      </c:barChart>
      <c:catAx>
        <c:axId val="1387047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8706304"/>
        <c:crosses val="autoZero"/>
        <c:auto val="1"/>
        <c:lblAlgn val="ctr"/>
        <c:lblOffset val="100"/>
        <c:tickLblSkip val="1"/>
      </c:catAx>
      <c:valAx>
        <c:axId val="13870630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38704768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b"/>
      <c:layout>
        <c:manualLayout>
          <c:xMode val="edge"/>
          <c:yMode val="edge"/>
          <c:x val="0.69470082287011459"/>
          <c:y val="0.22269905960247433"/>
          <c:w val="0.2690052409043725"/>
          <c:h val="6.0579274324377798E-2"/>
        </c:manualLayout>
      </c:layout>
      <c:txPr>
        <a:bodyPr/>
        <a:lstStyle/>
        <a:p>
          <a:pPr>
            <a:defRPr b="1"/>
          </a:pPr>
          <a:endParaRPr lang="cs-CZ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cs-CZ" sz="1400"/>
              <a:t>Počet uchazečů o zaměstnání na 1 VPM</a:t>
            </a:r>
          </a:p>
          <a:p>
            <a:pPr>
              <a:defRPr/>
            </a:pPr>
            <a:r>
              <a:rPr lang="cs-CZ" sz="1200"/>
              <a:t>podle kategorií zaměstnání </a:t>
            </a:r>
          </a:p>
        </c:rich>
      </c:tx>
    </c:title>
    <c:plotArea>
      <c:layout>
        <c:manualLayout>
          <c:layoutTarget val="inner"/>
          <c:xMode val="edge"/>
          <c:yMode val="edge"/>
          <c:x val="0.1064328521434821"/>
          <c:y val="0.19480351414406533"/>
          <c:w val="0.86301159230096258"/>
          <c:h val="0.62293744531933515"/>
        </c:manualLayout>
      </c:layout>
      <c:barChart>
        <c:barDir val="col"/>
        <c:grouping val="clustered"/>
        <c:ser>
          <c:idx val="0"/>
          <c:order val="0"/>
          <c:tx>
            <c:strRef>
              <c:f>celkem!$CJ$4</c:f>
              <c:strCache>
                <c:ptCount val="1"/>
                <c:pt idx="0">
                  <c:v>31.12.15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showVal val="1"/>
          </c:dLbls>
          <c:cat>
            <c:strRef>
              <c:f>celkem!$A$176:$A$184</c:f>
              <c:strCache>
                <c:ptCount val="9"/>
                <c:pt idx="0">
                  <c:v>Zákonodárci a říd. prac.</c:v>
                </c:pt>
                <c:pt idx="1">
                  <c:v>Specialisté</c:v>
                </c:pt>
                <c:pt idx="2">
                  <c:v>Techn. a odb. pracovníci </c:v>
                </c:pt>
                <c:pt idx="3">
                  <c:v>Úředníci </c:v>
                </c:pt>
                <c:pt idx="4">
                  <c:v>Prac. ve službách a prodeji </c:v>
                </c:pt>
                <c:pt idx="5">
                  <c:v>Kval. dělníci v zemědělství</c:v>
                </c:pt>
                <c:pt idx="6">
                  <c:v>Řemeslníci a opraváři </c:v>
                </c:pt>
                <c:pt idx="7">
                  <c:v>Obsluha strojů a zařízení </c:v>
                </c:pt>
                <c:pt idx="8">
                  <c:v>Pomoc. a nekval. pracovníci</c:v>
                </c:pt>
              </c:strCache>
            </c:strRef>
          </c:cat>
          <c:val>
            <c:numRef>
              <c:f>celkem!$CJ$176:$CJ$184</c:f>
              <c:numCache>
                <c:formatCode>0.0</c:formatCode>
                <c:ptCount val="9"/>
                <c:pt idx="0">
                  <c:v>4.2578723404255303</c:v>
                </c:pt>
                <c:pt idx="1">
                  <c:v>3.0189177910696898</c:v>
                </c:pt>
                <c:pt idx="2">
                  <c:v>3.2506276150627613</c:v>
                </c:pt>
                <c:pt idx="3">
                  <c:v>10.656418446795767</c:v>
                </c:pt>
                <c:pt idx="4">
                  <c:v>5.5616947324264396</c:v>
                </c:pt>
                <c:pt idx="5">
                  <c:v>10.507992895204266</c:v>
                </c:pt>
                <c:pt idx="6">
                  <c:v>2.8620485224370658</c:v>
                </c:pt>
                <c:pt idx="7">
                  <c:v>2.0252192462668881</c:v>
                </c:pt>
                <c:pt idx="8">
                  <c:v>6.7799022503893873</c:v>
                </c:pt>
              </c:numCache>
            </c:numRef>
          </c:val>
        </c:ser>
        <c:gapWidth val="68"/>
        <c:axId val="138349568"/>
        <c:axId val="138478336"/>
      </c:barChart>
      <c:catAx>
        <c:axId val="1383495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38478336"/>
        <c:crosses val="autoZero"/>
        <c:auto val="1"/>
        <c:lblAlgn val="ctr"/>
        <c:lblOffset val="100"/>
        <c:tickLblSkip val="1"/>
      </c:catAx>
      <c:valAx>
        <c:axId val="138478336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cs-CZ"/>
          </a:p>
        </c:txPr>
        <c:crossAx val="138349568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b"/>
      <c:layout>
        <c:manualLayout>
          <c:xMode val="edge"/>
          <c:yMode val="edge"/>
          <c:x val="0.64515135608049035"/>
          <c:y val="0.30980132691746887"/>
          <c:w val="0.30969706911636047"/>
          <c:h val="8.3717191601049901E-2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 sz="1200"/>
              <a:t>Věková struktura uchazečů o zaměstnání, 31. 12. 2015</a:t>
            </a:r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Lbls>
            <c:showPercent val="1"/>
            <c:showLeaderLines val="1"/>
          </c:dLbls>
          <c:cat>
            <c:strRef>
              <c:f>List2!$B$3:$Q$3</c:f>
              <c:strCache>
                <c:ptCount val="6"/>
                <c:pt idx="0">
                  <c:v>do 19</c:v>
                </c:pt>
                <c:pt idx="1">
                  <c:v>20-29</c:v>
                </c:pt>
                <c:pt idx="2">
                  <c:v>30-39</c:v>
                </c:pt>
                <c:pt idx="3">
                  <c:v>40-49</c:v>
                </c:pt>
                <c:pt idx="4">
                  <c:v>50-59</c:v>
                </c:pt>
                <c:pt idx="5">
                  <c:v>nad 60</c:v>
                </c:pt>
              </c:strCache>
            </c:strRef>
          </c:cat>
          <c:val>
            <c:numRef>
              <c:f>List2!$B$19:$Q$19</c:f>
              <c:numCache>
                <c:formatCode>#,##0</c:formatCode>
                <c:ptCount val="6"/>
                <c:pt idx="0" formatCode="General">
                  <c:v>14446</c:v>
                </c:pt>
                <c:pt idx="1">
                  <c:v>93725</c:v>
                </c:pt>
                <c:pt idx="2">
                  <c:v>102011</c:v>
                </c:pt>
                <c:pt idx="3">
                  <c:v>101422</c:v>
                </c:pt>
                <c:pt idx="4">
                  <c:v>115456</c:v>
                </c:pt>
                <c:pt idx="5" formatCode="0">
                  <c:v>26058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 sz="900"/>
            </a:pPr>
            <a:r>
              <a:rPr lang="cs-CZ" sz="1200"/>
              <a:t>Uchazeči o zaměstnání celkem k 30. 9. 2015 podle kategorií vzdělání</a:t>
            </a:r>
          </a:p>
        </c:rich>
      </c:tx>
      <c:layout>
        <c:manualLayout>
          <c:xMode val="edge"/>
          <c:yMode val="edge"/>
          <c:x val="0.20858979707618944"/>
          <c:y val="1.4483179242679764E-2"/>
        </c:manualLayout>
      </c:layout>
    </c:title>
    <c:plotArea>
      <c:layout>
        <c:manualLayout>
          <c:layoutTarget val="inner"/>
          <c:xMode val="edge"/>
          <c:yMode val="edge"/>
          <c:x val="0.19926468820279941"/>
          <c:y val="0.23717471425493802"/>
          <c:w val="0.6014704400509443"/>
          <c:h val="0.7454843715201070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99FFCC"/>
              </a:solidFill>
            </c:spPr>
          </c:dPt>
          <c:dPt>
            <c:idx val="3"/>
            <c:spPr>
              <a:solidFill>
                <a:srgbClr val="99CCFF"/>
              </a:solidFill>
            </c:spPr>
          </c:dPt>
          <c:dPt>
            <c:idx val="5"/>
            <c:spPr>
              <a:solidFill>
                <a:srgbClr val="FFCCFF"/>
              </a:solidFill>
            </c:spPr>
          </c:dPt>
          <c:dPt>
            <c:idx val="6"/>
            <c:spPr>
              <a:solidFill>
                <a:srgbClr val="00B0F0"/>
              </a:solidFill>
            </c:spPr>
          </c:dPt>
          <c:dPt>
            <c:idx val="7"/>
            <c:spPr>
              <a:solidFill>
                <a:srgbClr val="FF3399"/>
              </a:solidFill>
            </c:spPr>
          </c:dPt>
          <c:dPt>
            <c:idx val="8"/>
            <c:spPr>
              <a:solidFill>
                <a:srgbClr val="FFFFCC"/>
              </a:solidFill>
            </c:spPr>
          </c:dPt>
          <c:dPt>
            <c:idx val="9"/>
            <c:spPr>
              <a:solidFill>
                <a:srgbClr val="9933FF"/>
              </a:solidFill>
            </c:spPr>
          </c:dPt>
          <c:dPt>
            <c:idx val="10"/>
            <c:spPr>
              <a:solidFill>
                <a:srgbClr val="FFC000"/>
              </a:solidFill>
            </c:spPr>
          </c:dPt>
          <c:dPt>
            <c:idx val="12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0.23325644611125204"/>
                  <c:y val="0.1458148903560941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2.5386537931733202E-2"/>
                  <c:y val="-1.815510253108145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1.8721432608073609E-3"/>
                  <c:y val="0.10847495182321089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3946490793592028E-2"/>
                  <c:y val="-9.3804069609483426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2.0072771309808331E-2"/>
                  <c:y val="7.3086083067226415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2.6816892091681425E-2"/>
                  <c:y val="8.9562988578387268E-3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1.3188698642017034E-2"/>
                  <c:y val="-3.1361832881423593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.18129188887440947"/>
                  <c:y val="0.1565742145404108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8.7219483651876054E-2"/>
                  <c:y val="2.2919889921923012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1.9213420844406366E-2"/>
                  <c:y val="-1.9308706582595297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3.6409699097021256E-2"/>
                  <c:y val="-1.0473660132458583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1497538813538479"/>
                  <c:y val="1.1362823897678696E-2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00" baseline="0"/>
                </a:pPr>
                <a:endParaRPr lang="cs-CZ"/>
              </a:p>
            </c:txPr>
            <c:showCatName val="1"/>
            <c:showPercent val="1"/>
            <c:showLeaderLines val="1"/>
          </c:dLbls>
          <c:cat>
            <c:strRef>
              <c:f>'kategorie (3)'!$A$3:$A$15</c:f>
              <c:strCache>
                <c:ptCount val="13"/>
                <c:pt idx="0">
                  <c:v>A + B Bez vzdělání nebo neúplné zákl.</c:v>
                </c:pt>
                <c:pt idx="1">
                  <c:v>C Základní + praktická škola</c:v>
                </c:pt>
                <c:pt idx="2">
                  <c:v>D Nižší střední</c:v>
                </c:pt>
                <c:pt idx="3">
                  <c:v>E Nižší střední odborné</c:v>
                </c:pt>
                <c:pt idx="4">
                  <c:v>H Střední odborné (vyučen)</c:v>
                </c:pt>
                <c:pt idx="5">
                  <c:v>J Stř.nebo SO bez mat.i výuč.l.</c:v>
                </c:pt>
                <c:pt idx="6">
                  <c:v>K ÚSV</c:v>
                </c:pt>
                <c:pt idx="7">
                  <c:v>L ÚSO (vyučení s maturitou)</c:v>
                </c:pt>
                <c:pt idx="8">
                  <c:v>M ÚSO s maturitou (bez vyučení)</c:v>
                </c:pt>
                <c:pt idx="9">
                  <c:v>N Vyšší odborné</c:v>
                </c:pt>
                <c:pt idx="10">
                  <c:v>R Bakalářské</c:v>
                </c:pt>
                <c:pt idx="11">
                  <c:v>T Vysokoškolské</c:v>
                </c:pt>
                <c:pt idx="12">
                  <c:v>V Doktorské</c:v>
                </c:pt>
              </c:strCache>
            </c:strRef>
          </c:cat>
          <c:val>
            <c:numRef>
              <c:f>'kategorie (3)'!$C$3:$C$15</c:f>
              <c:numCache>
                <c:formatCode>#,##0</c:formatCode>
                <c:ptCount val="13"/>
                <c:pt idx="0">
                  <c:v>6502</c:v>
                </c:pt>
                <c:pt idx="1">
                  <c:v>122459</c:v>
                </c:pt>
                <c:pt idx="2">
                  <c:v>291</c:v>
                </c:pt>
                <c:pt idx="3">
                  <c:v>11410</c:v>
                </c:pt>
                <c:pt idx="4">
                  <c:v>155507</c:v>
                </c:pt>
                <c:pt idx="5">
                  <c:v>2856</c:v>
                </c:pt>
                <c:pt idx="6">
                  <c:v>12573</c:v>
                </c:pt>
                <c:pt idx="7">
                  <c:v>19812</c:v>
                </c:pt>
                <c:pt idx="8">
                  <c:v>72852</c:v>
                </c:pt>
                <c:pt idx="9">
                  <c:v>4408</c:v>
                </c:pt>
                <c:pt idx="10">
                  <c:v>8351</c:v>
                </c:pt>
                <c:pt idx="11">
                  <c:v>24098</c:v>
                </c:pt>
                <c:pt idx="12">
                  <c:v>773</c:v>
                </c:pt>
              </c:numCache>
            </c:numRef>
          </c:val>
        </c:ser>
        <c:firstSliceAng val="10"/>
      </c:pie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 sz="900"/>
            </a:pPr>
            <a:r>
              <a:rPr lang="cs-CZ" sz="1200"/>
              <a:t>Absolventi škol a mladiství v evidenci ÚP ČR k 30. 9. 2015 podle kategorií vzdělání</a:t>
            </a:r>
          </a:p>
        </c:rich>
      </c:tx>
    </c:title>
    <c:plotArea>
      <c:layout>
        <c:manualLayout>
          <c:layoutTarget val="inner"/>
          <c:xMode val="edge"/>
          <c:yMode val="edge"/>
          <c:x val="0.16970572796047551"/>
          <c:y val="0.14307168029659556"/>
          <c:w val="0.53463587639780363"/>
          <c:h val="0.83274436245207595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99FFCC"/>
              </a:solidFill>
            </c:spPr>
          </c:dPt>
          <c:dPt>
            <c:idx val="3"/>
            <c:spPr>
              <a:solidFill>
                <a:srgbClr val="99CCFF"/>
              </a:solidFill>
            </c:spPr>
          </c:dPt>
          <c:dPt>
            <c:idx val="6"/>
            <c:spPr>
              <a:solidFill>
                <a:srgbClr val="00B0F0"/>
              </a:solidFill>
            </c:spPr>
          </c:dPt>
          <c:dPt>
            <c:idx val="7"/>
            <c:spPr>
              <a:solidFill>
                <a:srgbClr val="FF3399"/>
              </a:solidFill>
            </c:spPr>
          </c:dPt>
          <c:dPt>
            <c:idx val="8"/>
            <c:spPr>
              <a:solidFill>
                <a:srgbClr val="FFFFCC"/>
              </a:solidFill>
            </c:spPr>
          </c:dPt>
          <c:dPt>
            <c:idx val="9"/>
            <c:spPr>
              <a:solidFill>
                <a:srgbClr val="9933FF"/>
              </a:solidFill>
            </c:spPr>
          </c:dPt>
          <c:dPt>
            <c:idx val="10"/>
            <c:spPr>
              <a:solidFill>
                <a:srgbClr val="FFC000"/>
              </a:solidFill>
            </c:spPr>
          </c:dPt>
          <c:dPt>
            <c:idx val="12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2.5766014028960591E-2"/>
                  <c:y val="5.021328366761917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9341989365125035E-2"/>
                  <c:y val="-2.147009330975623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6.7039247648029128E-3"/>
                  <c:y val="8.570975540454749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7.9119521824477845E-2"/>
                  <c:y val="-0.14706987713492345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0.14855396016674391"/>
                  <c:y val="0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0.11134272921767133"/>
                  <c:y val="-3.4904288796361191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5.3006374203224599E-2"/>
                  <c:y val="-9.5031537288205473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4.7426344469587857E-2"/>
                  <c:y val="4.2447669803987426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3.4390996385845786E-2"/>
                  <c:y val="-7.3762867143987124E-2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00" baseline="0"/>
                </a:pPr>
                <a:endParaRPr lang="cs-CZ"/>
              </a:p>
            </c:txPr>
            <c:showCatName val="1"/>
            <c:showPercent val="1"/>
            <c:showLeaderLines val="1"/>
          </c:dLbls>
          <c:cat>
            <c:strRef>
              <c:f>'kategorie (3)'!$A$3:$A$15</c:f>
              <c:strCache>
                <c:ptCount val="13"/>
                <c:pt idx="0">
                  <c:v>A + B Bez vzdělání nebo neúplné zákl.</c:v>
                </c:pt>
                <c:pt idx="1">
                  <c:v>C Základní + praktická škola</c:v>
                </c:pt>
                <c:pt idx="2">
                  <c:v>D Nižší střední</c:v>
                </c:pt>
                <c:pt idx="3">
                  <c:v>E Nižší střední odborné</c:v>
                </c:pt>
                <c:pt idx="4">
                  <c:v>H Střední odborné (vyučen)</c:v>
                </c:pt>
                <c:pt idx="5">
                  <c:v>J Stř.nebo SO bez mat.i výuč.l.</c:v>
                </c:pt>
                <c:pt idx="6">
                  <c:v>K ÚSV</c:v>
                </c:pt>
                <c:pt idx="7">
                  <c:v>L ÚSO (vyučení s maturitou)</c:v>
                </c:pt>
                <c:pt idx="8">
                  <c:v>M ÚSO s maturitou (bez vyučení)</c:v>
                </c:pt>
                <c:pt idx="9">
                  <c:v>N Vyšší odborné</c:v>
                </c:pt>
                <c:pt idx="10">
                  <c:v>R Bakalářské</c:v>
                </c:pt>
                <c:pt idx="11">
                  <c:v>T Vysokoškolské</c:v>
                </c:pt>
                <c:pt idx="12">
                  <c:v>V Doktorské</c:v>
                </c:pt>
              </c:strCache>
            </c:strRef>
          </c:cat>
          <c:val>
            <c:numRef>
              <c:f>'kategorie (3)'!$B$3:$B$15</c:f>
              <c:numCache>
                <c:formatCode>#,##0</c:formatCode>
                <c:ptCount val="13"/>
                <c:pt idx="0">
                  <c:v>627</c:v>
                </c:pt>
                <c:pt idx="1">
                  <c:v>2854</c:v>
                </c:pt>
                <c:pt idx="2">
                  <c:v>3</c:v>
                </c:pt>
                <c:pt idx="3">
                  <c:v>1176</c:v>
                </c:pt>
                <c:pt idx="4">
                  <c:v>5859</c:v>
                </c:pt>
                <c:pt idx="5">
                  <c:v>18</c:v>
                </c:pt>
                <c:pt idx="6">
                  <c:v>783</c:v>
                </c:pt>
                <c:pt idx="7">
                  <c:v>1995</c:v>
                </c:pt>
                <c:pt idx="8">
                  <c:v>6230</c:v>
                </c:pt>
                <c:pt idx="9">
                  <c:v>1013</c:v>
                </c:pt>
                <c:pt idx="10">
                  <c:v>2369</c:v>
                </c:pt>
                <c:pt idx="11">
                  <c:v>3574</c:v>
                </c:pt>
                <c:pt idx="12">
                  <c:v>78</c:v>
                </c:pt>
              </c:numCache>
            </c:numRef>
          </c:val>
        </c:ser>
        <c:firstSliceAng val="60"/>
      </c:pie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 sz="1000" baseline="0"/>
              <a:t>Počet a podíl UoZ vykonávajících nekolidující zaměstnání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List1!$B$25</c:f>
              <c:strCache>
                <c:ptCount val="1"/>
                <c:pt idx="0">
                  <c:v>absolutní počet</c:v>
                </c:pt>
              </c:strCache>
            </c:strRef>
          </c:tx>
          <c:cat>
            <c:numRef>
              <c:f>List1!$A$26:$A$34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List1!$B$26:$B$34</c:f>
              <c:numCache>
                <c:formatCode>#,##0</c:formatCode>
                <c:ptCount val="9"/>
                <c:pt idx="0">
                  <c:v>24583</c:v>
                </c:pt>
                <c:pt idx="1">
                  <c:v>27435</c:v>
                </c:pt>
                <c:pt idx="2">
                  <c:v>26593</c:v>
                </c:pt>
                <c:pt idx="3">
                  <c:v>43987</c:v>
                </c:pt>
                <c:pt idx="4">
                  <c:v>59610</c:v>
                </c:pt>
                <c:pt idx="5">
                  <c:v>48469</c:v>
                </c:pt>
                <c:pt idx="6">
                  <c:v>42055</c:v>
                </c:pt>
                <c:pt idx="7">
                  <c:v>47171</c:v>
                </c:pt>
                <c:pt idx="8">
                  <c:v>70729</c:v>
                </c:pt>
              </c:numCache>
            </c:numRef>
          </c:val>
        </c:ser>
        <c:axId val="138587136"/>
        <c:axId val="138588928"/>
      </c:barChart>
      <c:lineChart>
        <c:grouping val="standard"/>
        <c:ser>
          <c:idx val="2"/>
          <c:order val="1"/>
          <c:tx>
            <c:strRef>
              <c:f>List1!$C$25</c:f>
              <c:strCache>
                <c:ptCount val="1"/>
                <c:pt idx="0">
                  <c:v>podíl</c:v>
                </c:pt>
              </c:strCache>
            </c:strRef>
          </c:tx>
          <c:marker>
            <c:symbol val="none"/>
          </c:marker>
          <c:cat>
            <c:numRef>
              <c:f>List1!$A$26:$A$34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List1!$C$26:$C$34</c:f>
              <c:numCache>
                <c:formatCode>0.0</c:formatCode>
                <c:ptCount val="9"/>
                <c:pt idx="0">
                  <c:v>5.1775484414490309</c:v>
                </c:pt>
                <c:pt idx="1">
                  <c:v>6.9844704684317716</c:v>
                </c:pt>
                <c:pt idx="2">
                  <c:v>8.1925446703635245</c:v>
                </c:pt>
                <c:pt idx="3">
                  <c:v>9.4473797250859111</c:v>
                </c:pt>
                <c:pt idx="4">
                  <c:v>11.272692889561274</c:v>
                </c:pt>
                <c:pt idx="5">
                  <c:v>9.5448995667585628</c:v>
                </c:pt>
                <c:pt idx="6">
                  <c:v>8.3376288659793811</c:v>
                </c:pt>
                <c:pt idx="7">
                  <c:v>8.3577250177179341</c:v>
                </c:pt>
                <c:pt idx="8">
                  <c:v>12.59868186676167</c:v>
                </c:pt>
              </c:numCache>
            </c:numRef>
          </c:val>
        </c:ser>
        <c:marker val="1"/>
        <c:axId val="138596352"/>
        <c:axId val="138590464"/>
      </c:lineChart>
      <c:catAx>
        <c:axId val="138587136"/>
        <c:scaling>
          <c:orientation val="minMax"/>
        </c:scaling>
        <c:axPos val="b"/>
        <c:numFmt formatCode="General" sourceLinked="1"/>
        <c:tickLblPos val="nextTo"/>
        <c:crossAx val="138588928"/>
        <c:crosses val="autoZero"/>
        <c:auto val="1"/>
        <c:lblAlgn val="ctr"/>
        <c:lblOffset val="100"/>
      </c:catAx>
      <c:valAx>
        <c:axId val="138588928"/>
        <c:scaling>
          <c:orientation val="minMax"/>
        </c:scaling>
        <c:axPos val="l"/>
        <c:majorGridlines/>
        <c:numFmt formatCode="#,##0" sourceLinked="1"/>
        <c:tickLblPos val="nextTo"/>
        <c:crossAx val="138587136"/>
        <c:crosses val="autoZero"/>
        <c:crossBetween val="between"/>
      </c:valAx>
      <c:valAx>
        <c:axId val="138590464"/>
        <c:scaling>
          <c:orientation val="minMax"/>
          <c:max val="16"/>
        </c:scaling>
        <c:axPos val="r"/>
        <c:numFmt formatCode="0.0" sourceLinked="1"/>
        <c:tickLblPos val="nextTo"/>
        <c:crossAx val="138596352"/>
        <c:crosses val="max"/>
        <c:crossBetween val="between"/>
      </c:valAx>
      <c:catAx>
        <c:axId val="138596352"/>
        <c:scaling>
          <c:orientation val="minMax"/>
        </c:scaling>
        <c:delete val="1"/>
        <c:axPos val="b"/>
        <c:numFmt formatCode="General" sourceLinked="1"/>
        <c:tickLblPos val="none"/>
        <c:crossAx val="13859046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455613599557307"/>
          <c:y val="0.17629696287964011"/>
          <c:w val="0.17110525594358725"/>
          <c:h val="0.47981402324709432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 sz="800"/>
            </a:pPr>
            <a:r>
              <a:rPr lang="cs-CZ" sz="800">
                <a:latin typeface="Arial" pitchFamily="34" charset="0"/>
                <a:cs typeface="Arial" pitchFamily="34" charset="0"/>
              </a:rPr>
              <a:t>Podíl sektorů na zaměstnanosti v EU 28</a:t>
            </a:r>
          </a:p>
          <a:p>
            <a:pPr>
              <a:defRPr sz="800"/>
            </a:pPr>
            <a:r>
              <a:rPr lang="cs-CZ" sz="800">
                <a:latin typeface="Arial" pitchFamily="34" charset="0"/>
                <a:cs typeface="Arial" pitchFamily="34" charset="0"/>
              </a:rPr>
              <a:t>v 2. čtvrtletí 2015</a:t>
            </a:r>
          </a:p>
        </c:rich>
      </c:tx>
    </c:title>
    <c:view3D>
      <c:rotX val="30"/>
      <c:rotY val="50"/>
      <c:perspective val="30"/>
    </c:view3D>
    <c:plotArea>
      <c:layout>
        <c:manualLayout>
          <c:layoutTarget val="inner"/>
          <c:xMode val="edge"/>
          <c:yMode val="edge"/>
          <c:x val="0.12061961345740874"/>
          <c:y val="0.32536291136684875"/>
          <c:w val="0.75876115485564299"/>
          <c:h val="0.57573037494205392"/>
        </c:manualLayout>
      </c:layout>
      <c:pie3DChart>
        <c:varyColors val="1"/>
        <c:ser>
          <c:idx val="0"/>
          <c:order val="0"/>
          <c:tx>
            <c:strRef>
              <c:f>sektory!$A$3</c:f>
              <c:strCache>
                <c:ptCount val="1"/>
                <c:pt idx="0">
                  <c:v>EU28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6461560486757346E-2"/>
                  <c:y val="1.3770442156268926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"/>
                  <c:y val="0.1848208156672724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1328847530422345E-2"/>
                  <c:y val="-0.19074550777306684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CatName val="1"/>
            <c:showPercent val="1"/>
            <c:showLeaderLines val="1"/>
          </c:dLbls>
          <c:cat>
            <c:strRef>
              <c:f>sektory!$B$2:$D$2</c:f>
              <c:strCache>
                <c:ptCount val="3"/>
                <c:pt idx="0">
                  <c:v>primární (zeměděl., lesn.)</c:v>
                </c:pt>
                <c:pt idx="1">
                  <c:v>sekundární (prům. a staveb.)</c:v>
                </c:pt>
                <c:pt idx="2">
                  <c:v>terciární (služby)</c:v>
                </c:pt>
              </c:strCache>
            </c:strRef>
          </c:cat>
          <c:val>
            <c:numRef>
              <c:f>sektory!$B$3:$D$3</c:f>
              <c:numCache>
                <c:formatCode>0.0</c:formatCode>
                <c:ptCount val="3"/>
                <c:pt idx="0">
                  <c:v>4.9000000000000004</c:v>
                </c:pt>
                <c:pt idx="1">
                  <c:v>21.7</c:v>
                </c:pt>
                <c:pt idx="2">
                  <c:v>73.400000000000006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 sz="800"/>
            </a:pPr>
            <a:r>
              <a:rPr lang="cs-CZ" sz="800">
                <a:latin typeface="Arial" pitchFamily="34" charset="0"/>
                <a:cs typeface="Arial" pitchFamily="34" charset="0"/>
              </a:rPr>
              <a:t>Podíl sektorů na zaměstnanosti v ČR</a:t>
            </a:r>
          </a:p>
          <a:p>
            <a:pPr>
              <a:defRPr sz="800"/>
            </a:pPr>
            <a:r>
              <a:rPr lang="cs-CZ" sz="800">
                <a:latin typeface="Arial" pitchFamily="34" charset="0"/>
                <a:cs typeface="Arial" pitchFamily="34" charset="0"/>
              </a:rPr>
              <a:t>v 2. čtvrtletí 2015</a:t>
            </a:r>
          </a:p>
        </c:rich>
      </c:tx>
    </c:title>
    <c:view3D>
      <c:rotX val="30"/>
      <c:rotY val="30"/>
      <c:perspective val="30"/>
    </c:view3D>
    <c:plotArea>
      <c:layout>
        <c:manualLayout>
          <c:layoutTarget val="inner"/>
          <c:xMode val="edge"/>
          <c:yMode val="edge"/>
          <c:x val="0.12061942257217849"/>
          <c:y val="0.31254222994644193"/>
          <c:w val="0.75876115485564299"/>
          <c:h val="0.57573037494205392"/>
        </c:manualLayout>
      </c:layout>
      <c:pie3DChart>
        <c:varyColors val="1"/>
        <c:ser>
          <c:idx val="0"/>
          <c:order val="0"/>
          <c:tx>
            <c:strRef>
              <c:f>sektory!$A$4</c:f>
              <c:strCache>
                <c:ptCount val="1"/>
                <c:pt idx="0">
                  <c:v>Česká republika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3540668954842194"/>
                  <c:y val="4.6801044138098581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"/>
                  <c:y val="0.181795074658729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4.7863247863247901E-2"/>
                  <c:y val="-0.1659001842294778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CatName val="1"/>
            <c:showPercent val="1"/>
            <c:showLeaderLines val="1"/>
          </c:dLbls>
          <c:cat>
            <c:strRef>
              <c:f>sektory!$B$2:$D$2</c:f>
              <c:strCache>
                <c:ptCount val="3"/>
                <c:pt idx="0">
                  <c:v>primární (zeměděl., lesn.)</c:v>
                </c:pt>
                <c:pt idx="1">
                  <c:v>sekundární (prům. a staveb.)</c:v>
                </c:pt>
                <c:pt idx="2">
                  <c:v>terciární (služby)</c:v>
                </c:pt>
              </c:strCache>
            </c:strRef>
          </c:cat>
          <c:val>
            <c:numRef>
              <c:f>sektory!$B$4:$D$4</c:f>
              <c:numCache>
                <c:formatCode>0.0</c:formatCode>
                <c:ptCount val="3"/>
                <c:pt idx="0">
                  <c:v>3.3</c:v>
                </c:pt>
                <c:pt idx="1">
                  <c:v>36.9</c:v>
                </c:pt>
                <c:pt idx="2">
                  <c:v>59.8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/>
          <a:lstStyle/>
          <a:p>
            <a:pPr>
              <a:defRPr/>
            </a:pPr>
            <a:r>
              <a:rPr lang="cs-CZ" sz="1200">
                <a:latin typeface="+mn-lt"/>
              </a:rPr>
              <a:t>Uchazeči o</a:t>
            </a:r>
            <a:r>
              <a:rPr lang="cs-CZ" sz="1200" baseline="0">
                <a:latin typeface="+mn-lt"/>
              </a:rPr>
              <a:t> zaměstnání a volná pracovní místa</a:t>
            </a:r>
            <a:r>
              <a:rPr lang="cs-CZ" sz="1200" b="1" i="0" u="none" strike="noStrike" baseline="0"/>
              <a:t> (v tis.)</a:t>
            </a:r>
            <a:endParaRPr lang="cs-CZ" sz="1200">
              <a:latin typeface="+mn-lt"/>
            </a:endParaRPr>
          </a:p>
        </c:rich>
      </c:tx>
      <c:layout>
        <c:manualLayout>
          <c:xMode val="edge"/>
          <c:yMode val="edge"/>
          <c:x val="0.14932633420822403"/>
          <c:y val="2.777777777777780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List1!$A$7</c:f>
              <c:strCache>
                <c:ptCount val="1"/>
                <c:pt idx="0">
                  <c:v>Uchazeči o zaměstnání</c:v>
                </c:pt>
              </c:strCache>
            </c:strRef>
          </c:tx>
          <c:cat>
            <c:numRef>
              <c:f>List1!$D$6:$M$6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List1!$D$7:$M$7</c:f>
              <c:numCache>
                <c:formatCode>0.0</c:formatCode>
                <c:ptCount val="10"/>
                <c:pt idx="0">
                  <c:v>474.78999999999991</c:v>
                </c:pt>
                <c:pt idx="1">
                  <c:v>392.77699999999987</c:v>
                </c:pt>
                <c:pt idx="2">
                  <c:v>324.57499999999999</c:v>
                </c:pt>
                <c:pt idx="3">
                  <c:v>465.57599999999991</c:v>
                </c:pt>
                <c:pt idx="4">
                  <c:v>528.75</c:v>
                </c:pt>
                <c:pt idx="5">
                  <c:v>507.779</c:v>
                </c:pt>
                <c:pt idx="6">
                  <c:v>504.38099999999986</c:v>
                </c:pt>
                <c:pt idx="7">
                  <c:v>564.44799999999975</c:v>
                </c:pt>
                <c:pt idx="8">
                  <c:v>561.43699999999978</c:v>
                </c:pt>
                <c:pt idx="9">
                  <c:v>478.875</c:v>
                </c:pt>
              </c:numCache>
            </c:numRef>
          </c:val>
        </c:ser>
        <c:ser>
          <c:idx val="1"/>
          <c:order val="1"/>
          <c:tx>
            <c:strRef>
              <c:f>List1!$A$8</c:f>
              <c:strCache>
                <c:ptCount val="1"/>
                <c:pt idx="0">
                  <c:v>Volná pracovní místa</c:v>
                </c:pt>
              </c:strCache>
            </c:strRef>
          </c:tx>
          <c:cat>
            <c:numRef>
              <c:f>List1!$D$6:$M$6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List1!$D$8:$M$8</c:f>
              <c:numCache>
                <c:formatCode>0.0</c:formatCode>
                <c:ptCount val="10"/>
                <c:pt idx="0">
                  <c:v>82.516000000000005</c:v>
                </c:pt>
                <c:pt idx="1">
                  <c:v>121.99299999999999</c:v>
                </c:pt>
                <c:pt idx="2">
                  <c:v>141.77599999999998</c:v>
                </c:pt>
                <c:pt idx="3">
                  <c:v>48.554000000000002</c:v>
                </c:pt>
                <c:pt idx="4">
                  <c:v>33.147000000000006</c:v>
                </c:pt>
                <c:pt idx="5">
                  <c:v>36.493000000000002</c:v>
                </c:pt>
                <c:pt idx="6">
                  <c:v>39.878</c:v>
                </c:pt>
                <c:pt idx="7">
                  <c:v>38.964000000000006</c:v>
                </c:pt>
                <c:pt idx="8">
                  <c:v>48.682000000000002</c:v>
                </c:pt>
                <c:pt idx="9">
                  <c:v>90.338999999999999</c:v>
                </c:pt>
              </c:numCache>
            </c:numRef>
          </c:val>
        </c:ser>
        <c:axId val="138652672"/>
        <c:axId val="138658560"/>
      </c:barChart>
      <c:catAx>
        <c:axId val="1386526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 b="1"/>
            </a:pPr>
            <a:endParaRPr lang="cs-CZ"/>
          </a:p>
        </c:txPr>
        <c:crossAx val="138658560"/>
        <c:crosses val="autoZero"/>
        <c:auto val="1"/>
        <c:lblAlgn val="ctr"/>
        <c:lblOffset val="100"/>
      </c:catAx>
      <c:valAx>
        <c:axId val="138658560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/>
          <a:lstStyle/>
          <a:p>
            <a:pPr>
              <a:defRPr sz="700"/>
            </a:pPr>
            <a:endParaRPr lang="cs-CZ"/>
          </a:p>
        </c:txPr>
        <c:crossAx val="13865267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1807D-6107-4436-86BD-4CA87C2A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8380</Words>
  <Characters>49446</Characters>
  <Application>Microsoft Office Word</Application>
  <DocSecurity>0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OSPZV3 ospzv3</cp:lastModifiedBy>
  <cp:revision>2</cp:revision>
  <cp:lastPrinted>2016-07-13T12:28:00Z</cp:lastPrinted>
  <dcterms:created xsi:type="dcterms:W3CDTF">2016-07-13T12:29:00Z</dcterms:created>
  <dcterms:modified xsi:type="dcterms:W3CDTF">2016-07-13T12:29:00Z</dcterms:modified>
</cp:coreProperties>
</file>