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89" w:rsidRDefault="00ED1A89" w:rsidP="001127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27FB" w:rsidRPr="001127FB" w:rsidRDefault="001127FB" w:rsidP="001127FB">
      <w:pPr>
        <w:spacing w:after="120" w:line="264" w:lineRule="auto"/>
        <w:jc w:val="center"/>
        <w:rPr>
          <w:rFonts w:ascii="Arial" w:eastAsia="Calibri" w:hAnsi="Arial" w:cs="Arial"/>
          <w:b/>
          <w:sz w:val="28"/>
          <w:lang w:eastAsia="cs-CZ"/>
        </w:rPr>
      </w:pPr>
    </w:p>
    <w:p w:rsidR="001127FB" w:rsidRPr="001127FB" w:rsidRDefault="001127FB" w:rsidP="001127FB">
      <w:pPr>
        <w:spacing w:after="120" w:line="264" w:lineRule="auto"/>
        <w:jc w:val="center"/>
        <w:rPr>
          <w:rFonts w:ascii="Arial" w:eastAsia="Calibri" w:hAnsi="Arial" w:cs="Arial"/>
          <w:b/>
          <w:sz w:val="28"/>
          <w:lang w:eastAsia="cs-CZ"/>
        </w:rPr>
      </w:pPr>
      <w:r w:rsidRPr="001127FB">
        <w:rPr>
          <w:rFonts w:ascii="Arial" w:eastAsia="Calibri" w:hAnsi="Arial" w:cs="Arial"/>
          <w:b/>
          <w:sz w:val="28"/>
          <w:lang w:eastAsia="cs-CZ"/>
        </w:rPr>
        <w:t>Ministerstvo pro místní rozvoj</w:t>
      </w:r>
    </w:p>
    <w:p w:rsidR="00406FE4" w:rsidRPr="00406FE4" w:rsidRDefault="001127FB" w:rsidP="00406FE4">
      <w:pPr>
        <w:spacing w:before="3960" w:after="0" w:line="240" w:lineRule="auto"/>
        <w:jc w:val="center"/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</w:pPr>
      <w:r w:rsidRPr="001127FB"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  <w:t xml:space="preserve">Informace o </w:t>
      </w:r>
      <w:r w:rsidR="00406FE4" w:rsidRPr="00406FE4">
        <w:rPr>
          <w:rFonts w:ascii="Arial" w:eastAsia="Times New Roman" w:hAnsi="Arial" w:cs="Arial"/>
          <w:b/>
          <w:iCs/>
          <w:spacing w:val="15"/>
          <w:sz w:val="36"/>
          <w:szCs w:val="56"/>
          <w:lang w:eastAsia="cs-CZ"/>
        </w:rPr>
        <w:t>projednávané novele stavebního zákona a souvisejících zákonů</w:t>
      </w:r>
    </w:p>
    <w:p w:rsidR="001127FB" w:rsidRPr="001127FB" w:rsidRDefault="001127FB" w:rsidP="001127FB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127FB" w:rsidRDefault="001127FB" w:rsidP="001127FB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406FE4" w:rsidRDefault="00406FE4" w:rsidP="001127FB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406FE4" w:rsidRDefault="00406FE4" w:rsidP="001127FB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406FE4" w:rsidRPr="001127FB" w:rsidRDefault="00406FE4" w:rsidP="001127FB">
      <w:pPr>
        <w:spacing w:after="120" w:line="240" w:lineRule="auto"/>
        <w:rPr>
          <w:rFonts w:ascii="Arial" w:eastAsia="Times New Roman" w:hAnsi="Arial" w:cs="Times New Roman"/>
          <w:sz w:val="20"/>
          <w:szCs w:val="20"/>
          <w:lang w:eastAsia="cs-CZ"/>
        </w:rPr>
      </w:pPr>
    </w:p>
    <w:p w:rsidR="001127FB" w:rsidRPr="001127FB" w:rsidRDefault="00471928" w:rsidP="001127FB">
      <w:pPr>
        <w:spacing w:after="120" w:line="240" w:lineRule="auto"/>
        <w:jc w:val="center"/>
        <w:rPr>
          <w:rFonts w:ascii="Arial" w:eastAsia="Calibri" w:hAnsi="Arial" w:cs="Times New Roman"/>
          <w:sz w:val="24"/>
          <w:szCs w:val="24"/>
          <w:lang w:eastAsia="cs-CZ"/>
        </w:rPr>
      </w:pPr>
      <w:r w:rsidRPr="007B0F83">
        <w:rPr>
          <w:rFonts w:ascii="Arial" w:eastAsia="Calibri" w:hAnsi="Arial" w:cs="Arial"/>
          <w:sz w:val="28"/>
          <w:szCs w:val="28"/>
        </w:rPr>
        <w:t>Podklad pro jednání 122. Plenární schůze RHSD ČR</w:t>
      </w:r>
    </w:p>
    <w:p w:rsidR="001127FB" w:rsidRPr="00471928" w:rsidRDefault="001127FB" w:rsidP="001127FB">
      <w:pPr>
        <w:spacing w:before="5040" w:after="0" w:line="240" w:lineRule="auto"/>
        <w:jc w:val="center"/>
        <w:rPr>
          <w:rFonts w:ascii="Arial" w:eastAsia="Times New Roman" w:hAnsi="Arial" w:cs="Arial"/>
          <w:iCs/>
          <w:spacing w:val="15"/>
          <w:sz w:val="24"/>
          <w:szCs w:val="24"/>
          <w:lang w:eastAsia="cs-CZ"/>
        </w:rPr>
      </w:pPr>
      <w:r w:rsidRPr="00471928">
        <w:rPr>
          <w:rFonts w:ascii="Arial" w:eastAsia="Times New Roman" w:hAnsi="Arial" w:cs="Arial"/>
          <w:iCs/>
          <w:spacing w:val="15"/>
          <w:sz w:val="24"/>
          <w:szCs w:val="24"/>
          <w:lang w:eastAsia="cs-CZ"/>
        </w:rPr>
        <w:t>SRPEN 2015</w:t>
      </w:r>
    </w:p>
    <w:p w:rsidR="00471928" w:rsidRDefault="00471928">
      <w:pPr>
        <w:rPr>
          <w:rFonts w:ascii="Arial" w:eastAsia="Arial Unicode MS" w:hAnsi="Arial" w:cs="Arial"/>
          <w:b/>
          <w:u w:val="single"/>
        </w:rPr>
      </w:pPr>
      <w:r>
        <w:rPr>
          <w:rFonts w:ascii="Arial" w:eastAsia="Arial Unicode MS" w:hAnsi="Arial" w:cs="Arial"/>
          <w:b/>
          <w:u w:val="single"/>
        </w:rPr>
        <w:br w:type="page"/>
      </w:r>
    </w:p>
    <w:p w:rsidR="001127FB" w:rsidRPr="001127FB" w:rsidRDefault="001127FB" w:rsidP="001127FB">
      <w:pPr>
        <w:spacing w:after="120" w:line="240" w:lineRule="auto"/>
        <w:jc w:val="both"/>
        <w:rPr>
          <w:rFonts w:ascii="Arial" w:eastAsia="Arial Unicode MS" w:hAnsi="Arial" w:cs="Arial"/>
          <w:b/>
          <w:u w:val="single"/>
        </w:rPr>
      </w:pPr>
    </w:p>
    <w:p w:rsidR="00860867" w:rsidRPr="001127FB" w:rsidRDefault="00860867" w:rsidP="0086086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127FB">
        <w:rPr>
          <w:rFonts w:ascii="Arial" w:hAnsi="Arial" w:cs="Arial"/>
          <w:b/>
          <w:sz w:val="20"/>
          <w:szCs w:val="20"/>
        </w:rPr>
        <w:t xml:space="preserve">Informace o projednávané novele stavebního zákona </w:t>
      </w:r>
    </w:p>
    <w:p w:rsidR="00860867" w:rsidRPr="001127FB" w:rsidRDefault="00860867" w:rsidP="0086086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1127FB">
        <w:rPr>
          <w:rFonts w:ascii="Arial" w:hAnsi="Arial" w:cs="Arial"/>
          <w:b/>
          <w:sz w:val="20"/>
          <w:szCs w:val="20"/>
        </w:rPr>
        <w:t>a souvisejících zákonů</w:t>
      </w:r>
    </w:p>
    <w:p w:rsidR="00860867" w:rsidRPr="001127FB" w:rsidRDefault="00860867" w:rsidP="00860867">
      <w:pPr>
        <w:rPr>
          <w:rFonts w:ascii="Arial" w:hAnsi="Arial" w:cs="Arial"/>
          <w:sz w:val="20"/>
          <w:szCs w:val="20"/>
        </w:rPr>
      </w:pPr>
    </w:p>
    <w:p w:rsidR="00860867" w:rsidRPr="001127FB" w:rsidRDefault="00860867" w:rsidP="00860867">
      <w:pPr>
        <w:spacing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Radě hospodářské a sociální podpory České republiky je již po čtvrté předkládána informace o projednávané novele stavebního zákona. </w:t>
      </w:r>
    </w:p>
    <w:p w:rsidR="00C4528F" w:rsidRPr="001127FB" w:rsidRDefault="00FF7C4A" w:rsidP="00FF7C4A">
      <w:pPr>
        <w:spacing w:after="12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Návrh zákona, kterým se mění stavební zákon a dalších 36 souvisejících právních předpisů </w:t>
      </w:r>
      <w:r w:rsidR="00345BF9" w:rsidRPr="001127FB">
        <w:rPr>
          <w:rFonts w:ascii="Arial" w:hAnsi="Arial" w:cs="Arial"/>
          <w:sz w:val="20"/>
          <w:szCs w:val="20"/>
        </w:rPr>
        <w:t xml:space="preserve">(seznam viz příloha č. 1) </w:t>
      </w:r>
      <w:r w:rsidRPr="001127FB">
        <w:rPr>
          <w:rFonts w:ascii="Arial" w:hAnsi="Arial" w:cs="Arial"/>
          <w:sz w:val="20"/>
          <w:szCs w:val="20"/>
        </w:rPr>
        <w:t xml:space="preserve">připravilo </w:t>
      </w:r>
      <w:r w:rsidR="00ED1A89" w:rsidRPr="001127FB">
        <w:rPr>
          <w:rFonts w:ascii="Arial" w:hAnsi="Arial" w:cs="Arial"/>
          <w:sz w:val="20"/>
          <w:szCs w:val="20"/>
        </w:rPr>
        <w:t>M</w:t>
      </w:r>
      <w:r w:rsidRPr="001127FB">
        <w:rPr>
          <w:rFonts w:ascii="Arial" w:hAnsi="Arial" w:cs="Arial"/>
          <w:sz w:val="20"/>
          <w:szCs w:val="20"/>
        </w:rPr>
        <w:t>inisterstvo pro místní rozvoj</w:t>
      </w:r>
      <w:r w:rsidR="00ED1A89" w:rsidRPr="001127FB">
        <w:rPr>
          <w:rFonts w:ascii="Arial" w:hAnsi="Arial" w:cs="Arial"/>
          <w:sz w:val="20"/>
          <w:szCs w:val="20"/>
        </w:rPr>
        <w:t xml:space="preserve"> ČR</w:t>
      </w:r>
      <w:r w:rsidRPr="001127FB">
        <w:rPr>
          <w:rFonts w:ascii="Arial" w:hAnsi="Arial" w:cs="Arial"/>
          <w:sz w:val="20"/>
          <w:szCs w:val="20"/>
        </w:rPr>
        <w:t xml:space="preserve"> </w:t>
      </w:r>
      <w:r w:rsidR="00ED1A89" w:rsidRPr="001127FB">
        <w:rPr>
          <w:rFonts w:ascii="Arial" w:hAnsi="Arial" w:cs="Arial"/>
          <w:sz w:val="20"/>
          <w:szCs w:val="20"/>
        </w:rPr>
        <w:t xml:space="preserve">(dále jen „MMR“) </w:t>
      </w:r>
      <w:r w:rsidRPr="001127FB">
        <w:rPr>
          <w:rFonts w:ascii="Arial" w:hAnsi="Arial" w:cs="Arial"/>
          <w:sz w:val="20"/>
          <w:szCs w:val="20"/>
        </w:rPr>
        <w:t xml:space="preserve">v souladu s Plánem legislativních prací vlády na rok 2015. </w:t>
      </w:r>
      <w:r w:rsidR="00C4528F" w:rsidRPr="001127FB">
        <w:rPr>
          <w:rFonts w:ascii="Arial" w:hAnsi="Arial" w:cs="Arial"/>
          <w:sz w:val="20"/>
          <w:szCs w:val="20"/>
        </w:rPr>
        <w:t>M</w:t>
      </w:r>
      <w:r w:rsidR="00A07560" w:rsidRPr="001127FB">
        <w:rPr>
          <w:rFonts w:ascii="Arial" w:hAnsi="Arial" w:cs="Arial"/>
          <w:sz w:val="20"/>
          <w:szCs w:val="20"/>
        </w:rPr>
        <w:t>ezirezortní připomínkové řízení</w:t>
      </w:r>
      <w:r w:rsidR="00C4528F" w:rsidRPr="001127FB">
        <w:rPr>
          <w:rFonts w:ascii="Arial" w:hAnsi="Arial" w:cs="Arial"/>
          <w:sz w:val="20"/>
          <w:szCs w:val="20"/>
        </w:rPr>
        <w:t xml:space="preserve"> bylo zahájeno </w:t>
      </w:r>
      <w:r w:rsidR="001127FB">
        <w:rPr>
          <w:rFonts w:ascii="Arial" w:hAnsi="Arial" w:cs="Arial"/>
          <w:sz w:val="20"/>
          <w:szCs w:val="20"/>
        </w:rPr>
        <w:t>20. </w:t>
      </w:r>
      <w:r w:rsidR="00C4528F" w:rsidRPr="001127FB">
        <w:rPr>
          <w:rFonts w:ascii="Arial" w:hAnsi="Arial" w:cs="Arial"/>
          <w:sz w:val="20"/>
          <w:szCs w:val="20"/>
        </w:rPr>
        <w:t>června 2015 a lhůta pro uplatnění připomínek byla stanovena n</w:t>
      </w:r>
      <w:r w:rsidR="001127FB">
        <w:rPr>
          <w:rFonts w:ascii="Arial" w:hAnsi="Arial" w:cs="Arial"/>
          <w:sz w:val="20"/>
          <w:szCs w:val="20"/>
        </w:rPr>
        <w:t>a 20 pracovních dnů, tj. do 21. </w:t>
      </w:r>
      <w:r w:rsidR="00C4528F" w:rsidRPr="001127FB">
        <w:rPr>
          <w:rFonts w:ascii="Arial" w:hAnsi="Arial" w:cs="Arial"/>
          <w:sz w:val="20"/>
          <w:szCs w:val="20"/>
        </w:rPr>
        <w:t>července 2015.</w:t>
      </w:r>
      <w:r w:rsidR="009D626B" w:rsidRPr="001127FB">
        <w:rPr>
          <w:rFonts w:ascii="Arial" w:hAnsi="Arial" w:cs="Arial"/>
          <w:sz w:val="20"/>
          <w:szCs w:val="20"/>
        </w:rPr>
        <w:t xml:space="preserve"> Uplatněno bylo </w:t>
      </w:r>
      <w:r w:rsidR="00C4528F" w:rsidRPr="001127FB">
        <w:rPr>
          <w:rFonts w:ascii="Arial" w:hAnsi="Arial" w:cs="Arial"/>
          <w:sz w:val="20"/>
          <w:szCs w:val="20"/>
        </w:rPr>
        <w:t>celkem</w:t>
      </w:r>
      <w:r w:rsidR="00921E38" w:rsidRPr="001127FB">
        <w:rPr>
          <w:rFonts w:ascii="Arial" w:hAnsi="Arial" w:cs="Arial"/>
          <w:sz w:val="20"/>
          <w:szCs w:val="20"/>
        </w:rPr>
        <w:t xml:space="preserve"> </w:t>
      </w:r>
      <w:r w:rsidRPr="001127FB">
        <w:rPr>
          <w:rFonts w:ascii="Arial" w:hAnsi="Arial" w:cs="Arial"/>
          <w:sz w:val="20"/>
          <w:szCs w:val="20"/>
        </w:rPr>
        <w:t xml:space="preserve">2142 </w:t>
      </w:r>
      <w:r w:rsidR="00921E38" w:rsidRPr="001127FB">
        <w:rPr>
          <w:rFonts w:ascii="Arial" w:hAnsi="Arial" w:cs="Arial"/>
          <w:sz w:val="20"/>
          <w:szCs w:val="20"/>
        </w:rPr>
        <w:t xml:space="preserve">připomínek, z toho </w:t>
      </w:r>
      <w:r w:rsidR="00DF18D9" w:rsidRPr="001127FB">
        <w:rPr>
          <w:rFonts w:ascii="Arial" w:hAnsi="Arial" w:cs="Arial"/>
          <w:sz w:val="20"/>
          <w:szCs w:val="20"/>
        </w:rPr>
        <w:t xml:space="preserve">cca 1800 </w:t>
      </w:r>
      <w:r w:rsidR="00C4528F" w:rsidRPr="001127FB">
        <w:rPr>
          <w:rFonts w:ascii="Arial" w:hAnsi="Arial" w:cs="Arial"/>
          <w:sz w:val="20"/>
          <w:szCs w:val="20"/>
        </w:rPr>
        <w:t>zásadní</w:t>
      </w:r>
      <w:r w:rsidR="00DF18D9" w:rsidRPr="001127FB">
        <w:rPr>
          <w:rFonts w:ascii="Arial" w:hAnsi="Arial" w:cs="Arial"/>
          <w:sz w:val="20"/>
          <w:szCs w:val="20"/>
        </w:rPr>
        <w:t>ch</w:t>
      </w:r>
      <w:r w:rsidR="00C4528F" w:rsidRPr="001127FB">
        <w:rPr>
          <w:rFonts w:ascii="Arial" w:hAnsi="Arial" w:cs="Arial"/>
          <w:sz w:val="20"/>
          <w:szCs w:val="20"/>
        </w:rPr>
        <w:t xml:space="preserve">. </w:t>
      </w:r>
    </w:p>
    <w:p w:rsidR="00FF7C4A" w:rsidRPr="001127FB" w:rsidRDefault="00FF7C4A" w:rsidP="0086086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45BF9" w:rsidRPr="001127FB" w:rsidRDefault="00345BF9" w:rsidP="0086086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ab/>
        <w:t xml:space="preserve">K novele stavebního zákona bylo uplatněno 1540 připomínek, z toho cca 1230 zásadních.  </w:t>
      </w:r>
    </w:p>
    <w:p w:rsidR="009D626B" w:rsidRPr="001127FB" w:rsidRDefault="009D626B" w:rsidP="00FF7C4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Na úseku územního plánování se nejvíc</w:t>
      </w:r>
      <w:r w:rsidR="00FF7C4A" w:rsidRPr="001127FB">
        <w:rPr>
          <w:rFonts w:ascii="Arial" w:hAnsi="Arial" w:cs="Arial"/>
          <w:sz w:val="20"/>
          <w:szCs w:val="20"/>
        </w:rPr>
        <w:t>e</w:t>
      </w:r>
      <w:r w:rsidRPr="001127FB">
        <w:rPr>
          <w:rFonts w:ascii="Arial" w:hAnsi="Arial" w:cs="Arial"/>
          <w:sz w:val="20"/>
          <w:szCs w:val="20"/>
        </w:rPr>
        <w:t xml:space="preserve"> připomínek vztahuje</w:t>
      </w:r>
      <w:r w:rsidR="00FF7C4A" w:rsidRPr="001127FB">
        <w:rPr>
          <w:rFonts w:ascii="Arial" w:hAnsi="Arial" w:cs="Arial"/>
          <w:sz w:val="20"/>
          <w:szCs w:val="20"/>
        </w:rPr>
        <w:t>:</w:t>
      </w:r>
    </w:p>
    <w:p w:rsidR="00345BF9" w:rsidRPr="001127FB" w:rsidRDefault="009D626B" w:rsidP="00345BF9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k návrhu, podle kterého bude oprávněnému investorovi oznamováno projednávání územně plánovacích dokumentací jednotlivě</w:t>
      </w:r>
      <w:r w:rsidR="00345BF9" w:rsidRPr="001127FB">
        <w:rPr>
          <w:rFonts w:ascii="Arial" w:hAnsi="Arial" w:cs="Arial"/>
          <w:sz w:val="20"/>
          <w:szCs w:val="20"/>
        </w:rPr>
        <w:t xml:space="preserve">. Oprávněný investor ve veřejném zájmu spravuje a provozuje veřejnou dopravní a veřejnou technickou infrastrukturu ku prospěchu nás všech. Mnozí z nich mají celostátní nebo minimálně regionální působnost a je </w:t>
      </w:r>
      <w:r w:rsidR="00905797" w:rsidRPr="001127FB">
        <w:rPr>
          <w:rFonts w:ascii="Arial" w:hAnsi="Arial" w:cs="Arial"/>
          <w:sz w:val="20"/>
          <w:szCs w:val="20"/>
        </w:rPr>
        <w:t>obtížné</w:t>
      </w:r>
      <w:r w:rsidR="00345BF9" w:rsidRPr="001127FB">
        <w:rPr>
          <w:rFonts w:ascii="Arial" w:hAnsi="Arial" w:cs="Arial"/>
          <w:sz w:val="20"/>
          <w:szCs w:val="20"/>
        </w:rPr>
        <w:t>, aby neustále sledovali úřední desky všech obcí, zda se projednává územní plán nebo regulační plán. MMR proto vid</w:t>
      </w:r>
      <w:r w:rsidR="00905797" w:rsidRPr="001127FB">
        <w:rPr>
          <w:rFonts w:ascii="Arial" w:hAnsi="Arial" w:cs="Arial"/>
          <w:sz w:val="20"/>
          <w:szCs w:val="20"/>
        </w:rPr>
        <w:t>ělo</w:t>
      </w:r>
      <w:r w:rsidR="00345BF9" w:rsidRPr="001127FB">
        <w:rPr>
          <w:rFonts w:ascii="Arial" w:hAnsi="Arial" w:cs="Arial"/>
          <w:sz w:val="20"/>
          <w:szCs w:val="20"/>
        </w:rPr>
        <w:t xml:space="preserve"> jako potřebné zajistit jejich informovanost</w:t>
      </w:r>
      <w:r w:rsidR="00905797" w:rsidRPr="001127FB">
        <w:rPr>
          <w:rFonts w:ascii="Arial" w:hAnsi="Arial" w:cs="Arial"/>
          <w:sz w:val="20"/>
          <w:szCs w:val="20"/>
        </w:rPr>
        <w:t xml:space="preserve"> samostatným obesíláním</w:t>
      </w:r>
      <w:r w:rsidR="00345BF9" w:rsidRPr="001127FB">
        <w:rPr>
          <w:rFonts w:ascii="Arial" w:hAnsi="Arial" w:cs="Arial"/>
          <w:sz w:val="20"/>
          <w:szCs w:val="20"/>
        </w:rPr>
        <w:t xml:space="preserve">. </w:t>
      </w:r>
      <w:r w:rsidR="00905797" w:rsidRPr="001127FB">
        <w:rPr>
          <w:rFonts w:ascii="Arial" w:hAnsi="Arial" w:cs="Arial"/>
          <w:sz w:val="20"/>
          <w:szCs w:val="20"/>
        </w:rPr>
        <w:t>Proti to</w:t>
      </w:r>
      <w:r w:rsidR="001127FB">
        <w:rPr>
          <w:rFonts w:ascii="Arial" w:hAnsi="Arial" w:cs="Arial"/>
          <w:sz w:val="20"/>
          <w:szCs w:val="20"/>
        </w:rPr>
        <w:t>muto ustanovení se postavilo 21 </w:t>
      </w:r>
      <w:r w:rsidR="00905797" w:rsidRPr="001127FB">
        <w:rPr>
          <w:rFonts w:ascii="Arial" w:hAnsi="Arial" w:cs="Arial"/>
          <w:sz w:val="20"/>
          <w:szCs w:val="20"/>
        </w:rPr>
        <w:t>připomínkových míst, nejradikálněji Úřad vlády a ÚOOÚ - chtějí stejná práva pro dotčenou veřejnost, celkové přepracování k ochraně osobních oprávněných investorů, vedení rejstříků apod. Splnění těchto požadavků návrh natolik komplikuje a rozšiřuje, že se MMR rozhodlo navrhnout problém řešit metodikou a ne zákonem.</w:t>
      </w:r>
    </w:p>
    <w:p w:rsidR="009D626B" w:rsidRPr="001127FB" w:rsidRDefault="009D626B" w:rsidP="00860867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k možnosti zajistit zpracování a úhradu územní studie osobou, která hodlá záměr realizovat</w:t>
      </w:r>
      <w:r w:rsidR="00905797" w:rsidRPr="001127FB">
        <w:rPr>
          <w:rFonts w:ascii="Arial" w:hAnsi="Arial" w:cs="Arial"/>
          <w:sz w:val="20"/>
          <w:szCs w:val="20"/>
        </w:rPr>
        <w:t>, a tím značně urychlit přípravu území pro daný záměr</w:t>
      </w:r>
      <w:r w:rsidR="00345BF9" w:rsidRPr="001127FB">
        <w:rPr>
          <w:rFonts w:ascii="Arial" w:hAnsi="Arial" w:cs="Arial"/>
          <w:sz w:val="20"/>
          <w:szCs w:val="20"/>
        </w:rPr>
        <w:t>. Většina připomínek vychází z</w:t>
      </w:r>
      <w:r w:rsidR="001127FB">
        <w:rPr>
          <w:rFonts w:ascii="Arial" w:hAnsi="Arial" w:cs="Arial"/>
          <w:sz w:val="20"/>
          <w:szCs w:val="20"/>
        </w:rPr>
        <w:t> nepochopení a </w:t>
      </w:r>
      <w:r w:rsidR="00345BF9" w:rsidRPr="001127FB">
        <w:rPr>
          <w:rFonts w:ascii="Arial" w:hAnsi="Arial" w:cs="Arial"/>
          <w:sz w:val="20"/>
          <w:szCs w:val="20"/>
        </w:rPr>
        <w:t>nepřesné interpretace územní studie, která je jen odborným podkladem pro pořizování územně plánovací dokumentace nebo pro rozhodování. Do uvedených p</w:t>
      </w:r>
      <w:r w:rsidR="00E77093">
        <w:rPr>
          <w:rFonts w:ascii="Arial" w:hAnsi="Arial" w:cs="Arial"/>
          <w:sz w:val="20"/>
          <w:szCs w:val="20"/>
        </w:rPr>
        <w:t>rocesů vstupuje jako podklad, a </w:t>
      </w:r>
      <w:r w:rsidR="00345BF9" w:rsidRPr="001127FB">
        <w:rPr>
          <w:rFonts w:ascii="Arial" w:hAnsi="Arial" w:cs="Arial"/>
          <w:sz w:val="20"/>
          <w:szCs w:val="20"/>
        </w:rPr>
        <w:t>pokud je řešení územní studie přebíráno, je při projednáv</w:t>
      </w:r>
      <w:r w:rsidR="00E77093">
        <w:rPr>
          <w:rFonts w:ascii="Arial" w:hAnsi="Arial" w:cs="Arial"/>
          <w:sz w:val="20"/>
          <w:szCs w:val="20"/>
        </w:rPr>
        <w:t>ání možné návrh připomínkovat a </w:t>
      </w:r>
      <w:r w:rsidR="00345BF9" w:rsidRPr="001127FB">
        <w:rPr>
          <w:rFonts w:ascii="Arial" w:hAnsi="Arial" w:cs="Arial"/>
          <w:sz w:val="20"/>
          <w:szCs w:val="20"/>
        </w:rPr>
        <w:t xml:space="preserve">vznášet k němu námitky. Není kráceno ani právo na odvolání nebo na podnět k přezkumu, ani možnost podat soudní žalobu. Návrh novely obsahuje i další pojistky: </w:t>
      </w:r>
      <w:r w:rsidR="00ED1A89" w:rsidRPr="001127FB">
        <w:rPr>
          <w:rFonts w:ascii="Arial" w:hAnsi="Arial" w:cs="Arial"/>
          <w:sz w:val="20"/>
          <w:szCs w:val="20"/>
        </w:rPr>
        <w:t>o</w:t>
      </w:r>
      <w:r w:rsidR="00345BF9" w:rsidRPr="001127FB">
        <w:rPr>
          <w:rFonts w:ascii="Arial" w:hAnsi="Arial" w:cs="Arial"/>
          <w:sz w:val="20"/>
          <w:szCs w:val="20"/>
        </w:rPr>
        <w:t>bsah, rozsah, cíle a účel územní studie určí v zadání pořizovatel (orgán státní správy), ne žadatel. Také schválení možnosti využití této studie a vložení údajů o ní do centrální evidence územně plánovací činnosti náleží pořizovateli. Teprve po vložení dat do evidence smí být územní studie využita jako podklad.</w:t>
      </w:r>
      <w:r w:rsidR="00905797" w:rsidRPr="001127FB">
        <w:rPr>
          <w:rFonts w:ascii="Arial" w:hAnsi="Arial" w:cs="Arial"/>
          <w:sz w:val="20"/>
          <w:szCs w:val="20"/>
        </w:rPr>
        <w:t xml:space="preserve"> MMR bude na návrhu trvat s drobným upřesněním textu.</w:t>
      </w:r>
    </w:p>
    <w:p w:rsidR="009D626B" w:rsidRPr="001127FB" w:rsidRDefault="009D626B" w:rsidP="00860867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ke zkráceným procesům změn a aktualizací územně plánovací dokumentace</w:t>
      </w:r>
      <w:r w:rsidR="00345BF9" w:rsidRPr="001127FB">
        <w:rPr>
          <w:rFonts w:ascii="Arial" w:hAnsi="Arial" w:cs="Arial"/>
          <w:sz w:val="20"/>
          <w:szCs w:val="20"/>
        </w:rPr>
        <w:t>. Zkrácené postupy pořizování aktualizací a změn územně plánovací dokumentace je možné použít jen v případech, pokud není nutné zpracovávat varianty řešení, což je drtivá většina aktualizací a změn. Postupy jsou navrženy tak, aby všechna práva, která jsou u nezkráceného postupu, byla zachována (jsou přenesena do etapy veřejného projednání). To se týká dotč</w:t>
      </w:r>
      <w:r w:rsidR="001127FB">
        <w:rPr>
          <w:rFonts w:ascii="Arial" w:hAnsi="Arial" w:cs="Arial"/>
          <w:sz w:val="20"/>
          <w:szCs w:val="20"/>
        </w:rPr>
        <w:t>ených orgánů, obcí, vlastníků i </w:t>
      </w:r>
      <w:r w:rsidR="00345BF9" w:rsidRPr="001127FB">
        <w:rPr>
          <w:rFonts w:ascii="Arial" w:hAnsi="Arial" w:cs="Arial"/>
          <w:sz w:val="20"/>
          <w:szCs w:val="20"/>
        </w:rPr>
        <w:t xml:space="preserve">veřejnosti (včetně dotčené veřejnosti). Plně jsou dodržena i ustanovení </w:t>
      </w:r>
      <w:proofErr w:type="spellStart"/>
      <w:r w:rsidR="00345BF9" w:rsidRPr="001127FB">
        <w:rPr>
          <w:rFonts w:ascii="Arial" w:hAnsi="Arial" w:cs="Arial"/>
          <w:sz w:val="20"/>
          <w:szCs w:val="20"/>
        </w:rPr>
        <w:t>Aarhuské</w:t>
      </w:r>
      <w:proofErr w:type="spellEnd"/>
      <w:r w:rsidR="00345BF9" w:rsidRPr="001127FB">
        <w:rPr>
          <w:rFonts w:ascii="Arial" w:hAnsi="Arial" w:cs="Arial"/>
          <w:sz w:val="20"/>
          <w:szCs w:val="20"/>
        </w:rPr>
        <w:t xml:space="preserve"> úmluvy. Vzhledem k těmto skutečnostem a vzhledem k tomu, že zkráceným postupem bude dosažena časová úspora v řádu mnoha měsíců až roku, MMR trvá na principech této úpravy. Některým připomínkám na upřesnění textu bude vyhověno.</w:t>
      </w:r>
    </w:p>
    <w:p w:rsidR="009D626B" w:rsidRPr="001127FB" w:rsidRDefault="009D626B" w:rsidP="00860867">
      <w:pPr>
        <w:pStyle w:val="Odstavecseseznamem"/>
        <w:numPr>
          <w:ilvl w:val="0"/>
          <w:numId w:val="41"/>
        </w:num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ke zkrácení lhůt umožňujících přezkum a zrušení územně plánovací dokumentace a jiných opatření obecné povahy podle správního řádu a soudního řádu správního a k navazujícím ustanovením.</w:t>
      </w:r>
      <w:r w:rsidR="00345BF9" w:rsidRPr="001127FB">
        <w:rPr>
          <w:rFonts w:ascii="Arial" w:hAnsi="Arial" w:cs="Arial"/>
          <w:sz w:val="20"/>
          <w:szCs w:val="20"/>
        </w:rPr>
        <w:t xml:space="preserve"> Připomínky k navržené úpravě jsou zcela protichůdné. Některé připomínky návrhy na zkrácení lhůt </w:t>
      </w:r>
      <w:r w:rsidR="00AA3B50" w:rsidRPr="001127FB">
        <w:rPr>
          <w:rFonts w:ascii="Arial" w:hAnsi="Arial" w:cs="Arial"/>
          <w:sz w:val="20"/>
          <w:szCs w:val="20"/>
        </w:rPr>
        <w:t xml:space="preserve">z 3 let </w:t>
      </w:r>
      <w:r w:rsidR="00345BF9" w:rsidRPr="001127FB">
        <w:rPr>
          <w:rFonts w:ascii="Arial" w:hAnsi="Arial" w:cs="Arial"/>
          <w:sz w:val="20"/>
          <w:szCs w:val="20"/>
        </w:rPr>
        <w:t>na 6 měsíců a související ustanovení zcela odmítají, jiné požadují lhůtu ještě zkrátit a ustanovení rozšířit i na rozhodnutí</w:t>
      </w:r>
      <w:r w:rsidR="00AA3B50" w:rsidRPr="001127FB">
        <w:rPr>
          <w:rFonts w:ascii="Arial" w:hAnsi="Arial" w:cs="Arial"/>
          <w:sz w:val="20"/>
          <w:szCs w:val="20"/>
        </w:rPr>
        <w:t>, a nejvíce jich požaduje lhůtu stanovit obdob</w:t>
      </w:r>
      <w:r w:rsidR="00E77093">
        <w:rPr>
          <w:rFonts w:ascii="Arial" w:hAnsi="Arial" w:cs="Arial"/>
          <w:sz w:val="20"/>
          <w:szCs w:val="20"/>
        </w:rPr>
        <w:t>ně jako u </w:t>
      </w:r>
      <w:r w:rsidR="00AA3B50" w:rsidRPr="001127FB">
        <w:rPr>
          <w:rFonts w:ascii="Arial" w:hAnsi="Arial" w:cs="Arial"/>
          <w:sz w:val="20"/>
          <w:szCs w:val="20"/>
        </w:rPr>
        <w:t>správního řádu, tj. na 1 rok</w:t>
      </w:r>
      <w:r w:rsidR="00345BF9" w:rsidRPr="001127FB">
        <w:rPr>
          <w:rFonts w:ascii="Arial" w:hAnsi="Arial" w:cs="Arial"/>
          <w:sz w:val="20"/>
          <w:szCs w:val="20"/>
        </w:rPr>
        <w:t>. Jsou uplatněny i připomínky kritizující přílišné zúžení okruhu těch, kteří mohou podat žalobu</w:t>
      </w:r>
      <w:r w:rsidR="00AA3B50" w:rsidRPr="001127FB">
        <w:rPr>
          <w:rFonts w:ascii="Arial" w:hAnsi="Arial" w:cs="Arial"/>
          <w:sz w:val="20"/>
          <w:szCs w:val="20"/>
        </w:rPr>
        <w:t>. MMR nemůže výsledek projednání předjímat, na hlavních principech však bude trvat</w:t>
      </w:r>
      <w:r w:rsidR="00345BF9" w:rsidRPr="001127FB">
        <w:rPr>
          <w:rFonts w:ascii="Arial" w:hAnsi="Arial" w:cs="Arial"/>
          <w:sz w:val="20"/>
          <w:szCs w:val="20"/>
        </w:rPr>
        <w:t>. Přitom bude vycházet především z judikatury tam, kde ji lze považovat za ustálenou (např. týkající se jiných věcných práv).</w:t>
      </w:r>
    </w:p>
    <w:p w:rsidR="009D626B" w:rsidRDefault="009D626B" w:rsidP="0086086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1127FB" w:rsidRPr="001127FB" w:rsidRDefault="001127FB" w:rsidP="0086086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2791D" w:rsidRPr="001127FB" w:rsidRDefault="0032791D" w:rsidP="00FF7C4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Na úseku územního rozhodování a stavebního</w:t>
      </w:r>
      <w:r w:rsidR="00982ED5" w:rsidRPr="001127FB">
        <w:rPr>
          <w:rFonts w:ascii="Arial" w:hAnsi="Arial" w:cs="Arial"/>
          <w:sz w:val="20"/>
          <w:szCs w:val="20"/>
        </w:rPr>
        <w:t xml:space="preserve"> </w:t>
      </w:r>
      <w:r w:rsidRPr="001127FB">
        <w:rPr>
          <w:rFonts w:ascii="Arial" w:hAnsi="Arial" w:cs="Arial"/>
          <w:sz w:val="20"/>
          <w:szCs w:val="20"/>
        </w:rPr>
        <w:t>řádu</w:t>
      </w:r>
      <w:r w:rsidR="000C4A62" w:rsidRPr="001127FB">
        <w:rPr>
          <w:rFonts w:ascii="Arial" w:hAnsi="Arial" w:cs="Arial"/>
          <w:sz w:val="20"/>
          <w:szCs w:val="20"/>
        </w:rPr>
        <w:t xml:space="preserve"> připomínky </w:t>
      </w:r>
      <w:r w:rsidR="005A29E7" w:rsidRPr="001127FB">
        <w:rPr>
          <w:rFonts w:ascii="Arial" w:hAnsi="Arial" w:cs="Arial"/>
          <w:sz w:val="20"/>
          <w:szCs w:val="20"/>
        </w:rPr>
        <w:t xml:space="preserve">nejvíce </w:t>
      </w:r>
      <w:r w:rsidR="000C4A62" w:rsidRPr="001127FB">
        <w:rPr>
          <w:rFonts w:ascii="Arial" w:hAnsi="Arial" w:cs="Arial"/>
          <w:sz w:val="20"/>
          <w:szCs w:val="20"/>
        </w:rPr>
        <w:t>směřují k</w:t>
      </w:r>
      <w:r w:rsidR="00FF7C4A" w:rsidRPr="001127FB">
        <w:rPr>
          <w:rFonts w:ascii="Arial" w:hAnsi="Arial" w:cs="Arial"/>
          <w:sz w:val="20"/>
          <w:szCs w:val="20"/>
        </w:rPr>
        <w:t>:</w:t>
      </w:r>
      <w:r w:rsidR="00A24CB2" w:rsidRPr="001127FB">
        <w:rPr>
          <w:rFonts w:ascii="Arial" w:hAnsi="Arial" w:cs="Arial"/>
          <w:sz w:val="20"/>
          <w:szCs w:val="20"/>
        </w:rPr>
        <w:t xml:space="preserve"> </w:t>
      </w:r>
    </w:p>
    <w:p w:rsidR="000C4A62" w:rsidRPr="001127FB" w:rsidRDefault="000C4A62" w:rsidP="00860867">
      <w:pPr>
        <w:pStyle w:val="Odstavecseseznamem"/>
        <w:numPr>
          <w:ilvl w:val="0"/>
          <w:numId w:val="43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vyjádření veřejnoprávního charakteru </w:t>
      </w:r>
      <w:r w:rsidR="00C916A8" w:rsidRPr="001127FB">
        <w:rPr>
          <w:rFonts w:ascii="Arial" w:hAnsi="Arial" w:cs="Arial"/>
          <w:sz w:val="20"/>
          <w:szCs w:val="20"/>
        </w:rPr>
        <w:t>povolení stavebního úřadu</w:t>
      </w:r>
      <w:r w:rsidR="00FF7C4A" w:rsidRPr="001127FB">
        <w:rPr>
          <w:rFonts w:ascii="Arial" w:hAnsi="Arial" w:cs="Arial"/>
          <w:sz w:val="20"/>
          <w:szCs w:val="20"/>
        </w:rPr>
        <w:t>,</w:t>
      </w:r>
      <w:r w:rsidR="00C916A8" w:rsidRPr="001127FB">
        <w:rPr>
          <w:rFonts w:ascii="Arial" w:hAnsi="Arial" w:cs="Arial"/>
          <w:sz w:val="20"/>
          <w:szCs w:val="20"/>
        </w:rPr>
        <w:t xml:space="preserve"> kter</w:t>
      </w:r>
      <w:r w:rsidRPr="001127FB">
        <w:rPr>
          <w:rFonts w:ascii="Arial" w:hAnsi="Arial" w:cs="Arial"/>
          <w:sz w:val="20"/>
          <w:szCs w:val="20"/>
        </w:rPr>
        <w:t>é</w:t>
      </w:r>
      <w:r w:rsidR="00C916A8" w:rsidRPr="001127FB">
        <w:rPr>
          <w:rFonts w:ascii="Arial" w:hAnsi="Arial" w:cs="Arial"/>
          <w:sz w:val="20"/>
          <w:szCs w:val="20"/>
        </w:rPr>
        <w:t xml:space="preserve"> opravňuje stavebníka provést stavební záměr podle předpisů veřejného práva; před zahájením provádění stavebního záměru je stavebník povinen zajistit si příslušné </w:t>
      </w:r>
      <w:r w:rsidR="005A29E7" w:rsidRPr="001127FB">
        <w:rPr>
          <w:rFonts w:ascii="Arial" w:hAnsi="Arial" w:cs="Arial"/>
          <w:sz w:val="20"/>
          <w:szCs w:val="20"/>
        </w:rPr>
        <w:t xml:space="preserve">soukromoprávní </w:t>
      </w:r>
      <w:r w:rsidR="00C916A8" w:rsidRPr="001127FB">
        <w:rPr>
          <w:rFonts w:ascii="Arial" w:hAnsi="Arial" w:cs="Arial"/>
          <w:sz w:val="20"/>
          <w:szCs w:val="20"/>
        </w:rPr>
        <w:t xml:space="preserve">oprávnění. S touto navrhovanou </w:t>
      </w:r>
      <w:r w:rsidRPr="001127FB">
        <w:rPr>
          <w:rFonts w:ascii="Arial" w:hAnsi="Arial" w:cs="Arial"/>
          <w:sz w:val="20"/>
          <w:szCs w:val="20"/>
        </w:rPr>
        <w:t>úpravou</w:t>
      </w:r>
      <w:r w:rsidR="00C916A8" w:rsidRPr="001127FB">
        <w:rPr>
          <w:rFonts w:ascii="Arial" w:hAnsi="Arial" w:cs="Arial"/>
          <w:sz w:val="20"/>
          <w:szCs w:val="20"/>
        </w:rPr>
        <w:t xml:space="preserve"> souvisí také úprava dokladů, kterými stavebník prokazuje stavebnímu úřadu oprávnění stavbu provést, okruh účastníků řízení i řešení jimi podaných námitek.</w:t>
      </w:r>
    </w:p>
    <w:p w:rsidR="000C4A62" w:rsidRPr="001127FB" w:rsidRDefault="000C4A62" w:rsidP="00860867">
      <w:pPr>
        <w:pStyle w:val="Odstavecseseznamem"/>
        <w:numPr>
          <w:ilvl w:val="0"/>
          <w:numId w:val="43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z</w:t>
      </w:r>
      <w:r w:rsidR="0032791D" w:rsidRPr="001127FB">
        <w:rPr>
          <w:rFonts w:ascii="Arial" w:hAnsi="Arial" w:cs="Arial"/>
          <w:sz w:val="20"/>
          <w:szCs w:val="20"/>
        </w:rPr>
        <w:t>avedení možnosti spojení územního a stavebního řízení do jednoho koordinovaného řízení s vydáváním jednoho koordinovaného povolení, a to jak u jednotlivé stavby, tak i u souboru staveb (vybraných staveb speciálních a jiných); příslušným k vedení koordinovaného řízení u obecných staveb bude obecný stavební úřad, u vybraných dopravních st</w:t>
      </w:r>
      <w:r w:rsidR="001127FB">
        <w:rPr>
          <w:rFonts w:ascii="Arial" w:hAnsi="Arial" w:cs="Arial"/>
          <w:sz w:val="20"/>
          <w:szCs w:val="20"/>
        </w:rPr>
        <w:t>aveb speciální stavební úřad, u </w:t>
      </w:r>
      <w:r w:rsidR="0032791D" w:rsidRPr="001127FB">
        <w:rPr>
          <w:rFonts w:ascii="Arial" w:hAnsi="Arial" w:cs="Arial"/>
          <w:sz w:val="20"/>
          <w:szCs w:val="20"/>
        </w:rPr>
        <w:t>vodních děl příslušný vodoprávní úřad, u vybraných energetických staveb Ministerstvo průmyslu a obchodu.</w:t>
      </w:r>
      <w:r w:rsidRPr="001127FB">
        <w:rPr>
          <w:rFonts w:ascii="Arial" w:hAnsi="Arial" w:cs="Arial"/>
          <w:sz w:val="20"/>
          <w:szCs w:val="20"/>
        </w:rPr>
        <w:t xml:space="preserve"> </w:t>
      </w:r>
      <w:r w:rsidR="00F9707D" w:rsidRPr="001127FB">
        <w:rPr>
          <w:rFonts w:ascii="Arial" w:hAnsi="Arial" w:cs="Arial"/>
          <w:sz w:val="20"/>
          <w:szCs w:val="20"/>
        </w:rPr>
        <w:t>Řada uplatněných námitek polemizuje s</w:t>
      </w:r>
      <w:r w:rsidR="00476CBA" w:rsidRPr="001127FB">
        <w:rPr>
          <w:rFonts w:ascii="Arial" w:hAnsi="Arial" w:cs="Arial"/>
          <w:sz w:val="20"/>
          <w:szCs w:val="20"/>
        </w:rPr>
        <w:t> využitelností nově zaváděného koordinovaného řízení,</w:t>
      </w:r>
      <w:r w:rsidR="00871A14" w:rsidRPr="001127FB">
        <w:rPr>
          <w:rFonts w:ascii="Arial" w:hAnsi="Arial" w:cs="Arial"/>
          <w:sz w:val="20"/>
          <w:szCs w:val="20"/>
        </w:rPr>
        <w:t xml:space="preserve"> </w:t>
      </w:r>
      <w:r w:rsidR="00476CBA" w:rsidRPr="001127FB">
        <w:rPr>
          <w:rFonts w:ascii="Arial" w:hAnsi="Arial" w:cs="Arial"/>
          <w:sz w:val="20"/>
          <w:szCs w:val="20"/>
        </w:rPr>
        <w:t>pokud není možnost vést koordinované řízení také u souboru staveb, kde stavbou vedlejší je vodní dílo, které slouží k nakládání s vodami, pro něž je třeba povolení.</w:t>
      </w:r>
      <w:r w:rsidR="00E177D6" w:rsidRPr="001127FB">
        <w:rPr>
          <w:rFonts w:ascii="Arial" w:hAnsi="Arial" w:cs="Arial"/>
          <w:sz w:val="20"/>
          <w:szCs w:val="20"/>
        </w:rPr>
        <w:t xml:space="preserve"> Návrh novely odráží výsledek jednání na úrovni náměstků MMR a MZE. Nebude-li možnost koordinované řízení uplatnit také u vodních děl, hrozí výrazná kritika návrhu novely a řada rozporů</w:t>
      </w:r>
      <w:r w:rsidR="00C30C11" w:rsidRPr="001127FB">
        <w:rPr>
          <w:rFonts w:ascii="Arial" w:hAnsi="Arial" w:cs="Arial"/>
          <w:sz w:val="20"/>
          <w:szCs w:val="20"/>
        </w:rPr>
        <w:t>;</w:t>
      </w:r>
      <w:r w:rsidR="00E177D6" w:rsidRPr="001127FB">
        <w:rPr>
          <w:rFonts w:ascii="Arial" w:hAnsi="Arial" w:cs="Arial"/>
          <w:sz w:val="20"/>
          <w:szCs w:val="20"/>
        </w:rPr>
        <w:t xml:space="preserve"> připustí-li MZE plné zařazení vodních děl do koordinovaného řízení, bude nutná změna vodního zákona.</w:t>
      </w:r>
    </w:p>
    <w:p w:rsidR="001308F3" w:rsidRPr="001127FB" w:rsidRDefault="00FF7C4A" w:rsidP="00860867">
      <w:pPr>
        <w:pStyle w:val="Odstavecseseznamem"/>
        <w:numPr>
          <w:ilvl w:val="0"/>
          <w:numId w:val="43"/>
        </w:numPr>
        <w:suppressAutoHyphens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i</w:t>
      </w:r>
      <w:r w:rsidR="0032791D" w:rsidRPr="001127FB">
        <w:rPr>
          <w:rFonts w:ascii="Arial" w:hAnsi="Arial" w:cs="Arial"/>
          <w:sz w:val="20"/>
          <w:szCs w:val="20"/>
        </w:rPr>
        <w:t>ntegrac</w:t>
      </w:r>
      <w:r w:rsidR="001308F3" w:rsidRPr="001127FB">
        <w:rPr>
          <w:rFonts w:ascii="Arial" w:hAnsi="Arial" w:cs="Arial"/>
          <w:sz w:val="20"/>
          <w:szCs w:val="20"/>
        </w:rPr>
        <w:t>i</w:t>
      </w:r>
      <w:r w:rsidR="0032791D" w:rsidRPr="001127FB">
        <w:rPr>
          <w:rFonts w:ascii="Arial" w:hAnsi="Arial" w:cs="Arial"/>
          <w:sz w:val="20"/>
          <w:szCs w:val="20"/>
        </w:rPr>
        <w:t xml:space="preserve"> procesu posuzování vlivů na životní prostředí do koordinovaného řízení a do samostatného územního řízení</w:t>
      </w:r>
      <w:r w:rsidR="00871A14" w:rsidRPr="001127FB">
        <w:rPr>
          <w:rFonts w:ascii="Arial" w:hAnsi="Arial" w:cs="Arial"/>
          <w:sz w:val="20"/>
          <w:szCs w:val="20"/>
        </w:rPr>
        <w:t>.</w:t>
      </w:r>
      <w:r w:rsidR="000C4A62" w:rsidRPr="001127FB">
        <w:rPr>
          <w:rFonts w:ascii="Arial" w:hAnsi="Arial" w:cs="Arial"/>
          <w:sz w:val="20"/>
          <w:szCs w:val="20"/>
        </w:rPr>
        <w:t xml:space="preserve"> </w:t>
      </w:r>
      <w:r w:rsidR="00476CBA" w:rsidRPr="001127FB">
        <w:rPr>
          <w:rFonts w:ascii="Arial" w:hAnsi="Arial" w:cs="Arial"/>
          <w:sz w:val="20"/>
          <w:szCs w:val="20"/>
        </w:rPr>
        <w:t xml:space="preserve">V uplatněných připomínkách </w:t>
      </w:r>
      <w:r w:rsidR="00C916A8" w:rsidRPr="001127FB">
        <w:rPr>
          <w:rFonts w:ascii="Arial" w:hAnsi="Arial" w:cs="Arial"/>
          <w:sz w:val="20"/>
          <w:szCs w:val="20"/>
        </w:rPr>
        <w:t xml:space="preserve">(celkem cca </w:t>
      </w:r>
      <w:r w:rsidR="00E177D6" w:rsidRPr="001127FB">
        <w:rPr>
          <w:rFonts w:ascii="Arial" w:hAnsi="Arial" w:cs="Arial"/>
          <w:sz w:val="20"/>
          <w:szCs w:val="20"/>
        </w:rPr>
        <w:t>2</w:t>
      </w:r>
      <w:r w:rsidR="00C916A8" w:rsidRPr="001127FB">
        <w:rPr>
          <w:rFonts w:ascii="Arial" w:hAnsi="Arial" w:cs="Arial"/>
          <w:sz w:val="20"/>
          <w:szCs w:val="20"/>
        </w:rPr>
        <w:t xml:space="preserve">50 zásadních připomínek) </w:t>
      </w:r>
      <w:r w:rsidR="00476CBA" w:rsidRPr="001127FB">
        <w:rPr>
          <w:rFonts w:ascii="Arial" w:hAnsi="Arial" w:cs="Arial"/>
          <w:sz w:val="20"/>
          <w:szCs w:val="20"/>
        </w:rPr>
        <w:t>se projevuje zklamání, že nedochází ke slibované nápravě stavu posuzování vlivů na</w:t>
      </w:r>
      <w:r w:rsidR="000C4A62" w:rsidRPr="001127FB">
        <w:rPr>
          <w:rFonts w:ascii="Arial" w:hAnsi="Arial" w:cs="Arial"/>
          <w:sz w:val="20"/>
          <w:szCs w:val="20"/>
        </w:rPr>
        <w:t xml:space="preserve"> životní prostředí</w:t>
      </w:r>
      <w:r w:rsidR="00476CBA" w:rsidRPr="001127FB">
        <w:rPr>
          <w:rFonts w:ascii="Arial" w:hAnsi="Arial" w:cs="Arial"/>
          <w:sz w:val="20"/>
          <w:szCs w:val="20"/>
        </w:rPr>
        <w:t xml:space="preserve"> zavedeného poslední novelou zákona EIA. </w:t>
      </w:r>
    </w:p>
    <w:p w:rsidR="00E177D6" w:rsidRPr="001127FB" w:rsidRDefault="00FF7C4A" w:rsidP="00E177D6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p</w:t>
      </w:r>
      <w:r w:rsidR="00B1752C" w:rsidRPr="001127FB">
        <w:rPr>
          <w:rFonts w:ascii="Arial" w:hAnsi="Arial" w:cs="Arial"/>
          <w:sz w:val="20"/>
          <w:szCs w:val="20"/>
        </w:rPr>
        <w:t>roblemati</w:t>
      </w:r>
      <w:r w:rsidR="001308F3" w:rsidRPr="001127FB">
        <w:rPr>
          <w:rFonts w:ascii="Arial" w:hAnsi="Arial" w:cs="Arial"/>
          <w:sz w:val="20"/>
          <w:szCs w:val="20"/>
        </w:rPr>
        <w:t>ce</w:t>
      </w:r>
      <w:r w:rsidR="00B1752C" w:rsidRPr="001127FB">
        <w:rPr>
          <w:rFonts w:ascii="Arial" w:hAnsi="Arial" w:cs="Arial"/>
          <w:sz w:val="20"/>
          <w:szCs w:val="20"/>
        </w:rPr>
        <w:t xml:space="preserve"> dotčených orgánů</w:t>
      </w:r>
      <w:r w:rsidR="001308F3" w:rsidRPr="001127FB">
        <w:rPr>
          <w:rFonts w:ascii="Arial" w:hAnsi="Arial" w:cs="Arial"/>
          <w:sz w:val="20"/>
          <w:szCs w:val="20"/>
        </w:rPr>
        <w:t xml:space="preserve"> - k</w:t>
      </w:r>
      <w:r w:rsidR="00B1752C" w:rsidRPr="001127FB">
        <w:rPr>
          <w:rFonts w:ascii="Arial" w:hAnsi="Arial" w:cs="Arial"/>
          <w:sz w:val="20"/>
          <w:szCs w:val="20"/>
        </w:rPr>
        <w:t xml:space="preserve"> § 4 stavebního zákona, ve kterém je navržena podrobnější úprava závazných stanovisek a </w:t>
      </w:r>
      <w:r w:rsidRPr="001127FB">
        <w:rPr>
          <w:rFonts w:ascii="Arial" w:hAnsi="Arial" w:cs="Arial"/>
          <w:sz w:val="20"/>
          <w:szCs w:val="20"/>
        </w:rPr>
        <w:t>úzká souči</w:t>
      </w:r>
      <w:r w:rsidR="00B1752C" w:rsidRPr="001127FB">
        <w:rPr>
          <w:rFonts w:ascii="Arial" w:hAnsi="Arial" w:cs="Arial"/>
          <w:sz w:val="20"/>
          <w:szCs w:val="20"/>
        </w:rPr>
        <w:t>nnost dotčených orgánů</w:t>
      </w:r>
      <w:r w:rsidRPr="001127FB">
        <w:rPr>
          <w:rFonts w:ascii="Arial" w:hAnsi="Arial" w:cs="Arial"/>
          <w:sz w:val="20"/>
          <w:szCs w:val="20"/>
        </w:rPr>
        <w:t xml:space="preserve"> se stavebním úřadem</w:t>
      </w:r>
      <w:r w:rsidR="00B1752C" w:rsidRPr="001127FB">
        <w:rPr>
          <w:rFonts w:ascii="Arial" w:hAnsi="Arial" w:cs="Arial"/>
          <w:sz w:val="20"/>
          <w:szCs w:val="20"/>
        </w:rPr>
        <w:t xml:space="preserve">, bylo uplatněno přes 45 zásadních připomínek. </w:t>
      </w:r>
    </w:p>
    <w:p w:rsidR="00E177D6" w:rsidRPr="001127FB" w:rsidRDefault="00E177D6" w:rsidP="00E177D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Stavební úřady postupují ve vzájemné součinnosti s dotčenými orgány chránícími veřejné zájmy podle zvláštních právních předpisů. Takových zákonů je </w:t>
      </w:r>
      <w:r w:rsidR="001127FB">
        <w:rPr>
          <w:rFonts w:ascii="Arial" w:hAnsi="Arial" w:cs="Arial"/>
          <w:sz w:val="20"/>
          <w:szCs w:val="20"/>
        </w:rPr>
        <w:t>na úseku územního rozhodování a </w:t>
      </w:r>
      <w:r w:rsidRPr="001127FB">
        <w:rPr>
          <w:rFonts w:ascii="Arial" w:hAnsi="Arial" w:cs="Arial"/>
          <w:sz w:val="20"/>
          <w:szCs w:val="20"/>
        </w:rPr>
        <w:t xml:space="preserve">stavebního řádu dnes cca 40. Úplná shoda všech zúčastněných osob na výstavbě je na tom, že naprosto zásadní problém pro rychlé posouzení záměru je činnost dotčených orgánů – velký počet dotčených orgánů, nejednoznačně formulovaná věcná působnost, formální závazná stanoviska, nebo naopak požadavky závazných stanovisek přesahující působnost a ochranu veřejných zájmů, posouzení záměru jedním dotčeným orgánem je často vázané na výsledek posouzení jiného dotčeného orgánu, komplikovaná a časově náročná </w:t>
      </w:r>
      <w:proofErr w:type="spellStart"/>
      <w:r w:rsidRPr="001127FB">
        <w:rPr>
          <w:rFonts w:ascii="Arial" w:hAnsi="Arial" w:cs="Arial"/>
          <w:sz w:val="20"/>
          <w:szCs w:val="20"/>
        </w:rPr>
        <w:t>rozporová</w:t>
      </w:r>
      <w:proofErr w:type="spellEnd"/>
      <w:r w:rsidRPr="001127FB">
        <w:rPr>
          <w:rFonts w:ascii="Arial" w:hAnsi="Arial" w:cs="Arial"/>
          <w:sz w:val="20"/>
          <w:szCs w:val="20"/>
        </w:rPr>
        <w:t xml:space="preserve"> jednání, účelové prodlužování odvolacích řízení podáváním odvolání do závazných stanovisek</w:t>
      </w:r>
      <w:r w:rsidR="00C30C11" w:rsidRPr="001127FB">
        <w:rPr>
          <w:rFonts w:ascii="Arial" w:hAnsi="Arial" w:cs="Arial"/>
          <w:sz w:val="20"/>
          <w:szCs w:val="20"/>
        </w:rPr>
        <w:t>, apod.</w:t>
      </w:r>
    </w:p>
    <w:p w:rsidR="00E177D6" w:rsidRPr="001127FB" w:rsidRDefault="00E177D6" w:rsidP="00E177D6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Ke zjednodušení a zrychlení povolovacích řízení by pomohlo upřesnění působnosti dotčených orgánů, zaměření obsahu závazných stanovisek důsled</w:t>
      </w:r>
      <w:r w:rsidR="001127FB">
        <w:rPr>
          <w:rFonts w:ascii="Arial" w:hAnsi="Arial" w:cs="Arial"/>
          <w:sz w:val="20"/>
          <w:szCs w:val="20"/>
        </w:rPr>
        <w:t>ně na ochranu veřejných zájmů a </w:t>
      </w:r>
      <w:r w:rsidRPr="001127FB">
        <w:rPr>
          <w:rFonts w:ascii="Arial" w:hAnsi="Arial" w:cs="Arial"/>
          <w:sz w:val="20"/>
          <w:szCs w:val="20"/>
        </w:rPr>
        <w:t>zpřesnění součinnosti stavebních úřadů a dotčených orgánů.</w:t>
      </w:r>
    </w:p>
    <w:p w:rsidR="00E177D6" w:rsidRPr="001127FB" w:rsidRDefault="00E177D6" w:rsidP="00E177D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Ke stávajícím „tradičním“ dotčeným orgánům (hygienik, hasič, památkáři) </w:t>
      </w:r>
      <w:proofErr w:type="spellStart"/>
      <w:r w:rsidRPr="001127FB">
        <w:rPr>
          <w:rFonts w:ascii="Arial" w:hAnsi="Arial" w:cs="Arial"/>
          <w:sz w:val="20"/>
          <w:szCs w:val="20"/>
        </w:rPr>
        <w:t>přibydou</w:t>
      </w:r>
      <w:proofErr w:type="spellEnd"/>
      <w:r w:rsidRPr="001127FB">
        <w:rPr>
          <w:rFonts w:ascii="Arial" w:hAnsi="Arial" w:cs="Arial"/>
          <w:sz w:val="20"/>
          <w:szCs w:val="20"/>
        </w:rPr>
        <w:t xml:space="preserve"> zavedením koordinovaného řízení stavební úřady, které namísto samostatného povolení vedlejší stavby budou vydávat závazná stanoviska. Obecné zásady se budou proto vztahovat také na závazná stanoviska stavebních úřadů. </w:t>
      </w:r>
    </w:p>
    <w:p w:rsidR="00E177D6" w:rsidRPr="001127FB" w:rsidRDefault="00E177D6" w:rsidP="00E177D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Ačkoliv se činnost dotčených orgánů projeví nejvíce u umisťování a povolování stavebních záměrů, je jejich právní úprava mimo působnost MMR. Obecně j</w:t>
      </w:r>
      <w:r w:rsidR="00406FE4">
        <w:rPr>
          <w:rFonts w:ascii="Arial" w:hAnsi="Arial" w:cs="Arial"/>
          <w:sz w:val="20"/>
          <w:szCs w:val="20"/>
        </w:rPr>
        <w:t>e postavení dotčených orgánů, a </w:t>
      </w:r>
      <w:r w:rsidRPr="001127FB">
        <w:rPr>
          <w:rFonts w:ascii="Arial" w:hAnsi="Arial" w:cs="Arial"/>
          <w:sz w:val="20"/>
          <w:szCs w:val="20"/>
        </w:rPr>
        <w:t>rozhodnutí podmíněné závazným stanoviskem upraveno ve správním řádu – působnost MV. Věcná působnost je více či méně konkrétně upravena v řadě zvláštních zákonů (mimo působnosti MMR)</w:t>
      </w:r>
      <w:r w:rsidR="00C30C11" w:rsidRPr="001127FB">
        <w:rPr>
          <w:rFonts w:ascii="Arial" w:hAnsi="Arial" w:cs="Arial"/>
          <w:sz w:val="20"/>
          <w:szCs w:val="20"/>
        </w:rPr>
        <w:t>.</w:t>
      </w:r>
      <w:r w:rsidRPr="001127FB">
        <w:rPr>
          <w:rFonts w:ascii="Arial" w:hAnsi="Arial" w:cs="Arial"/>
          <w:sz w:val="20"/>
          <w:szCs w:val="20"/>
        </w:rPr>
        <w:t xml:space="preserve"> </w:t>
      </w:r>
    </w:p>
    <w:p w:rsidR="00E177D6" w:rsidRPr="001127FB" w:rsidRDefault="00E177D6" w:rsidP="00E177D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MV odsouvá řešení problému, požaduje navrženou konkrétní úpravu v novele stavebního zákona vypustit a problém řešit tak, že usnesení vlády stanoví dotčeným ministrům povinnost, aby při přípravě právních předpisů souvisejících s povolováním staveb navrhovali konkrétní úpravy, jejichž cílem by mělo být dosažení jednotné formy úkonů dotčených orgánů vstupujících do povolovacího řízení či posílení vzájemné spolupráce těchto orgánů. Toto považuje</w:t>
      </w:r>
      <w:r w:rsidR="00C30C11" w:rsidRPr="001127FB">
        <w:rPr>
          <w:rFonts w:ascii="Arial" w:hAnsi="Arial" w:cs="Arial"/>
          <w:sz w:val="20"/>
          <w:szCs w:val="20"/>
        </w:rPr>
        <w:t xml:space="preserve"> MMR</w:t>
      </w:r>
      <w:r w:rsidRPr="001127FB">
        <w:rPr>
          <w:rFonts w:ascii="Arial" w:hAnsi="Arial" w:cs="Arial"/>
          <w:sz w:val="20"/>
          <w:szCs w:val="20"/>
        </w:rPr>
        <w:t xml:space="preserve"> za nepřijatelné, lze řešit z větší části úpravou správního řádu. Řada připomínkových míst také úpravu správního řádu navrhuje, případně požaduje doplnění § 4. </w:t>
      </w:r>
    </w:p>
    <w:p w:rsidR="00E177D6" w:rsidRPr="001127FB" w:rsidRDefault="00E177D6" w:rsidP="00E177D6">
      <w:p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Problematika dotčených orgánů představuje letitý závažný problém, a absence řešení by byla velmi negativně vnímána. </w:t>
      </w:r>
    </w:p>
    <w:p w:rsidR="00BC225A" w:rsidRPr="001127FB" w:rsidRDefault="00BC225A" w:rsidP="008608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752C" w:rsidRPr="001127FB" w:rsidRDefault="00B1752C" w:rsidP="00860867">
      <w:pPr>
        <w:suppressAutoHyphens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0A7DD2" w:rsidRPr="001127FB" w:rsidRDefault="000A7DD2" w:rsidP="00FF7C4A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Změny provedené ve stavebním zákoně jsou promítnuté do dalších 36 souvisejících zákonů</w:t>
      </w:r>
      <w:r w:rsidR="000A2AC8" w:rsidRPr="001127FB">
        <w:rPr>
          <w:rFonts w:ascii="Arial" w:hAnsi="Arial" w:cs="Arial"/>
          <w:sz w:val="20"/>
          <w:szCs w:val="20"/>
        </w:rPr>
        <w:t>.</w:t>
      </w:r>
      <w:r w:rsidRPr="001127FB">
        <w:rPr>
          <w:rFonts w:ascii="Arial" w:hAnsi="Arial" w:cs="Arial"/>
          <w:sz w:val="20"/>
          <w:szCs w:val="20"/>
        </w:rPr>
        <w:t xml:space="preserve"> Rozsáhlejší změny jsou provedeny v zákoně o posuzování vlivů na životní prostředí</w:t>
      </w:r>
      <w:r w:rsidR="00FF7C4A" w:rsidRPr="001127FB">
        <w:rPr>
          <w:rFonts w:ascii="Arial" w:hAnsi="Arial" w:cs="Arial"/>
          <w:sz w:val="20"/>
          <w:szCs w:val="20"/>
        </w:rPr>
        <w:t xml:space="preserve"> (zákon EIA)</w:t>
      </w:r>
      <w:r w:rsidR="00406FE4">
        <w:rPr>
          <w:rFonts w:ascii="Arial" w:hAnsi="Arial" w:cs="Arial"/>
          <w:sz w:val="20"/>
          <w:szCs w:val="20"/>
        </w:rPr>
        <w:t xml:space="preserve"> a </w:t>
      </w:r>
      <w:r w:rsidRPr="001127FB">
        <w:rPr>
          <w:rFonts w:ascii="Arial" w:hAnsi="Arial" w:cs="Arial"/>
          <w:sz w:val="20"/>
          <w:szCs w:val="20"/>
        </w:rPr>
        <w:t xml:space="preserve">v zákoně o urychlení výstavby dopravní, vodní a energetické infrastruktury, kde jsou změny </w:t>
      </w:r>
      <w:r w:rsidRPr="001127FB">
        <w:rPr>
          <w:rFonts w:ascii="Arial" w:hAnsi="Arial" w:cs="Arial"/>
          <w:sz w:val="20"/>
          <w:szCs w:val="20"/>
        </w:rPr>
        <w:lastRenderedPageBreak/>
        <w:t>vyvolané nutností upravit v právním řádu výkon působnosti Ministerstva průmyslu a obchodu ke koordinaci procesů povolování projektů společného zájmu podle n</w:t>
      </w:r>
      <w:r w:rsidR="00406FE4">
        <w:rPr>
          <w:rFonts w:ascii="Arial" w:hAnsi="Arial" w:cs="Arial"/>
          <w:sz w:val="20"/>
          <w:szCs w:val="20"/>
        </w:rPr>
        <w:t>ařízení Evropského parlamentu a </w:t>
      </w:r>
      <w:r w:rsidRPr="001127FB">
        <w:rPr>
          <w:rFonts w:ascii="Arial" w:hAnsi="Arial" w:cs="Arial"/>
          <w:sz w:val="20"/>
          <w:szCs w:val="20"/>
        </w:rPr>
        <w:t>Rady (EU) č. 347/2013 ze dne 17. 4. 2013, kterým se stanoví hl</w:t>
      </w:r>
      <w:r w:rsidR="00406FE4">
        <w:rPr>
          <w:rFonts w:ascii="Arial" w:hAnsi="Arial" w:cs="Arial"/>
          <w:sz w:val="20"/>
          <w:szCs w:val="20"/>
        </w:rPr>
        <w:t>avní směry transevropské sítě a </w:t>
      </w:r>
      <w:r w:rsidRPr="001127FB">
        <w:rPr>
          <w:rFonts w:ascii="Arial" w:hAnsi="Arial" w:cs="Arial"/>
          <w:sz w:val="20"/>
          <w:szCs w:val="20"/>
        </w:rPr>
        <w:t xml:space="preserve">kterým se zrušuje rozhodnutí č. 1364/2006/ES a mění nařízení (ES) </w:t>
      </w:r>
      <w:r w:rsidR="00406FE4">
        <w:rPr>
          <w:rFonts w:ascii="Arial" w:hAnsi="Arial" w:cs="Arial"/>
          <w:sz w:val="20"/>
          <w:szCs w:val="20"/>
        </w:rPr>
        <w:t>č. 713/2009, (ES) č. 714/2009 a </w:t>
      </w:r>
      <w:r w:rsidRPr="001127FB">
        <w:rPr>
          <w:rFonts w:ascii="Arial" w:hAnsi="Arial" w:cs="Arial"/>
          <w:sz w:val="20"/>
          <w:szCs w:val="20"/>
        </w:rPr>
        <w:t xml:space="preserve">(ES) č. 715/2009. </w:t>
      </w:r>
    </w:p>
    <w:p w:rsidR="000A2AC8" w:rsidRPr="001127FB" w:rsidRDefault="000A2AC8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9D0" w:rsidRPr="001127FB" w:rsidRDefault="001379D0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1F69" w:rsidRPr="001127FB" w:rsidRDefault="00E63B04" w:rsidP="00FF7C4A">
      <w:pPr>
        <w:spacing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Novela zákona EIA obsahuje celkem 70 novelizačních bodů. </w:t>
      </w:r>
      <w:r w:rsidR="00461F69" w:rsidRPr="001127FB">
        <w:rPr>
          <w:rFonts w:ascii="Arial" w:hAnsi="Arial" w:cs="Arial"/>
          <w:sz w:val="20"/>
          <w:szCs w:val="20"/>
        </w:rPr>
        <w:t xml:space="preserve">K návrhu bylo uplatněno </w:t>
      </w:r>
      <w:r w:rsidR="00E77093">
        <w:rPr>
          <w:rFonts w:ascii="Arial" w:hAnsi="Arial" w:cs="Arial"/>
          <w:sz w:val="20"/>
          <w:szCs w:val="20"/>
        </w:rPr>
        <w:t>200 </w:t>
      </w:r>
      <w:r w:rsidR="001379D0" w:rsidRPr="001127FB">
        <w:rPr>
          <w:rFonts w:ascii="Arial" w:hAnsi="Arial" w:cs="Arial"/>
          <w:sz w:val="20"/>
          <w:szCs w:val="20"/>
        </w:rPr>
        <w:t xml:space="preserve">připomínek, z toho </w:t>
      </w:r>
      <w:r w:rsidR="00461F69" w:rsidRPr="001127FB">
        <w:rPr>
          <w:rFonts w:ascii="Arial" w:hAnsi="Arial" w:cs="Arial"/>
          <w:sz w:val="20"/>
          <w:szCs w:val="20"/>
        </w:rPr>
        <w:t>cca 160 zásadních připomínek.</w:t>
      </w:r>
    </w:p>
    <w:p w:rsidR="00461F69" w:rsidRPr="001127FB" w:rsidRDefault="00461F69" w:rsidP="001379D0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Nejčastější připomínky a návrhy: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návrh novely přejímá právní úpravu provedenou zákonem č. 39/2015 Sb., ačkoli bylo ze strany MŽP deklarováno, že zmíněná úprava má přechodný charakter, tzv. „dočasné legislativní řešení“ – předložený návrh představuje vývoj opačným směrem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návrhy změn na vymezení dotčené veřejnosti a podporující podpisové listiny (vyšší počet podpisů, úředně ověřené podpisy)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problematika zpracování „variant“ řešení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zkrácení lhůt pro zjišťovací řízení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problematika posudku a jeho vyžadování, nesoulad se Směrnicí EIA (návrhy připomínkových míst – pouze odborné vyjádření v odůvodněných případech, stanovit postup pro výběr </w:t>
      </w:r>
      <w:proofErr w:type="spellStart"/>
      <w:r w:rsidRPr="001127FB">
        <w:rPr>
          <w:rFonts w:ascii="Arial" w:hAnsi="Arial" w:cs="Arial"/>
          <w:sz w:val="20"/>
          <w:szCs w:val="20"/>
        </w:rPr>
        <w:t>posudkáře</w:t>
      </w:r>
      <w:proofErr w:type="spellEnd"/>
      <w:r w:rsidRPr="001127FB">
        <w:rPr>
          <w:rFonts w:ascii="Arial" w:hAnsi="Arial" w:cs="Arial"/>
          <w:sz w:val="20"/>
          <w:szCs w:val="20"/>
        </w:rPr>
        <w:t>)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institut „</w:t>
      </w:r>
      <w:proofErr w:type="spellStart"/>
      <w:r w:rsidRPr="001127FB">
        <w:rPr>
          <w:rFonts w:ascii="Arial" w:hAnsi="Arial" w:cs="Arial"/>
          <w:sz w:val="20"/>
          <w:szCs w:val="20"/>
        </w:rPr>
        <w:t>coherence</w:t>
      </w:r>
      <w:proofErr w:type="spellEnd"/>
      <w:r w:rsidRPr="001127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27FB">
        <w:rPr>
          <w:rFonts w:ascii="Arial" w:hAnsi="Arial" w:cs="Arial"/>
          <w:sz w:val="20"/>
          <w:szCs w:val="20"/>
        </w:rPr>
        <w:t>stamp</w:t>
      </w:r>
      <w:proofErr w:type="spellEnd"/>
      <w:r w:rsidRPr="001127FB">
        <w:rPr>
          <w:rFonts w:ascii="Arial" w:hAnsi="Arial" w:cs="Arial"/>
          <w:sz w:val="20"/>
          <w:szCs w:val="20"/>
        </w:rPr>
        <w:t>“ – v praxi zatěžující, vede k pro</w:t>
      </w:r>
      <w:r w:rsidR="00406FE4">
        <w:rPr>
          <w:rFonts w:ascii="Arial" w:hAnsi="Arial" w:cs="Arial"/>
          <w:sz w:val="20"/>
          <w:szCs w:val="20"/>
        </w:rPr>
        <w:t>dlužování navazujících řízení a </w:t>
      </w:r>
      <w:r w:rsidRPr="001127FB">
        <w:rPr>
          <w:rFonts w:ascii="Arial" w:hAnsi="Arial" w:cs="Arial"/>
          <w:sz w:val="20"/>
          <w:szCs w:val="20"/>
        </w:rPr>
        <w:t xml:space="preserve">výrazně zatěžuje výkon státní správy – návrhy, aby případné změny záměru byly </w:t>
      </w:r>
      <w:proofErr w:type="spellStart"/>
      <w:r w:rsidRPr="001127FB">
        <w:rPr>
          <w:rFonts w:ascii="Arial" w:hAnsi="Arial" w:cs="Arial"/>
          <w:sz w:val="20"/>
          <w:szCs w:val="20"/>
        </w:rPr>
        <w:t>doposouzeny</w:t>
      </w:r>
      <w:proofErr w:type="spellEnd"/>
      <w:r w:rsidRPr="001127FB">
        <w:rPr>
          <w:rFonts w:ascii="Arial" w:hAnsi="Arial" w:cs="Arial"/>
          <w:sz w:val="20"/>
          <w:szCs w:val="20"/>
        </w:rPr>
        <w:t xml:space="preserve"> v rámci navazujícího řízení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stanovení rozsahu uplatňovaných námitek a připomínek pro navazující řízení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předběžné opatření a odkladný účinek žaloby – pozbude účinnosti, pokud soud nerozhodl v zákonem stanovené lhůtě</w:t>
      </w:r>
    </w:p>
    <w:p w:rsidR="00461F69" w:rsidRPr="001127FB" w:rsidRDefault="00461F69" w:rsidP="00860867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uvedení přílohy č. 1 do souladu s přílohou I a II Směrnice EIA, tak aby národní úprava nebyla přísnější než evropský předpis.</w:t>
      </w:r>
    </w:p>
    <w:p w:rsidR="006674B4" w:rsidRPr="001127FB" w:rsidRDefault="006674B4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9D0" w:rsidRPr="001127FB" w:rsidRDefault="001379D0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A62" w:rsidRPr="001127FB" w:rsidRDefault="000C4A62" w:rsidP="001379D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Konferenční vypořádání uplatněných </w:t>
      </w:r>
      <w:r w:rsidR="001379D0" w:rsidRPr="001127FB">
        <w:rPr>
          <w:rFonts w:ascii="Arial" w:hAnsi="Arial" w:cs="Arial"/>
          <w:sz w:val="20"/>
          <w:szCs w:val="20"/>
        </w:rPr>
        <w:t xml:space="preserve">zásadních </w:t>
      </w:r>
      <w:r w:rsidRPr="001127FB">
        <w:rPr>
          <w:rFonts w:ascii="Arial" w:hAnsi="Arial" w:cs="Arial"/>
          <w:sz w:val="20"/>
          <w:szCs w:val="20"/>
        </w:rPr>
        <w:t xml:space="preserve">připomínek je plánováno na </w:t>
      </w:r>
      <w:r w:rsidR="001379D0" w:rsidRPr="001127FB">
        <w:rPr>
          <w:rFonts w:ascii="Arial" w:hAnsi="Arial" w:cs="Arial"/>
          <w:sz w:val="20"/>
          <w:szCs w:val="20"/>
        </w:rPr>
        <w:t xml:space="preserve">1. a 2. </w:t>
      </w:r>
      <w:r w:rsidRPr="001127FB">
        <w:rPr>
          <w:rFonts w:ascii="Arial" w:hAnsi="Arial" w:cs="Arial"/>
          <w:sz w:val="20"/>
          <w:szCs w:val="20"/>
        </w:rPr>
        <w:t>září, v současné době tedy nelze předjímat výsledky vypořádání.</w:t>
      </w:r>
    </w:p>
    <w:p w:rsidR="00915156" w:rsidRPr="001127FB" w:rsidRDefault="00915156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9D0" w:rsidRPr="001127FB" w:rsidRDefault="001379D0" w:rsidP="008608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2AC8" w:rsidRPr="001127FB" w:rsidRDefault="000A2AC8" w:rsidP="001379D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S ohledem na množství zásadních připomínek a vzhledem k tomu, že MMR chce vládě předložit kvalitní návrh právního předpisu a v maximální míře eliminovat počet rozporů, </w:t>
      </w:r>
      <w:r w:rsidR="00733C2E" w:rsidRPr="001127FB">
        <w:rPr>
          <w:rFonts w:ascii="Arial" w:hAnsi="Arial" w:cs="Arial"/>
          <w:sz w:val="20"/>
          <w:szCs w:val="20"/>
        </w:rPr>
        <w:t xml:space="preserve">požádala ministryně pro místní rozvoj předsedu vlády </w:t>
      </w:r>
      <w:r w:rsidRPr="001127FB">
        <w:rPr>
          <w:rFonts w:ascii="Arial" w:hAnsi="Arial" w:cs="Arial"/>
          <w:sz w:val="20"/>
          <w:szCs w:val="20"/>
        </w:rPr>
        <w:t>o souhlas s prodloužením termínu k předložení návrhu zákona vládě do konce října letošního roku.</w:t>
      </w:r>
    </w:p>
    <w:p w:rsidR="007839E1" w:rsidRPr="001127FB" w:rsidRDefault="007839E1" w:rsidP="007839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79D0" w:rsidRPr="001127FB" w:rsidRDefault="001379D0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127FB" w:rsidRDefault="001127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2E67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1379D0" w:rsidRPr="001127FB" w:rsidRDefault="001D2E67" w:rsidP="0086086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="001127FB">
        <w:rPr>
          <w:rFonts w:ascii="Arial" w:hAnsi="Arial" w:cs="Arial"/>
          <w:sz w:val="20"/>
          <w:szCs w:val="20"/>
        </w:rPr>
        <w:tab/>
      </w:r>
      <w:r w:rsidR="001127FB">
        <w:rPr>
          <w:rFonts w:ascii="Arial" w:hAnsi="Arial" w:cs="Arial"/>
          <w:sz w:val="20"/>
          <w:szCs w:val="20"/>
        </w:rPr>
        <w:tab/>
      </w:r>
      <w:r w:rsidR="001127FB">
        <w:rPr>
          <w:rFonts w:ascii="Arial" w:hAnsi="Arial" w:cs="Arial"/>
          <w:sz w:val="20"/>
          <w:szCs w:val="20"/>
        </w:rPr>
        <w:tab/>
      </w:r>
      <w:r w:rsidRPr="001127FB">
        <w:rPr>
          <w:rFonts w:ascii="Arial" w:hAnsi="Arial" w:cs="Arial"/>
          <w:sz w:val="20"/>
          <w:szCs w:val="20"/>
        </w:rPr>
        <w:t xml:space="preserve"> Příloha č. 1</w:t>
      </w:r>
    </w:p>
    <w:p w:rsidR="00860867" w:rsidRDefault="001379D0" w:rsidP="001379D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P</w:t>
      </w:r>
      <w:r w:rsidR="00860867" w:rsidRPr="001127FB">
        <w:rPr>
          <w:rFonts w:ascii="Arial" w:hAnsi="Arial" w:cs="Arial"/>
          <w:sz w:val="20"/>
          <w:szCs w:val="20"/>
        </w:rPr>
        <w:t>ředmětem legislativních prací je návr</w:t>
      </w:r>
      <w:r w:rsidR="001127FB">
        <w:rPr>
          <w:rFonts w:ascii="Arial" w:hAnsi="Arial" w:cs="Arial"/>
          <w:sz w:val="20"/>
          <w:szCs w:val="20"/>
        </w:rPr>
        <w:t>h na změnu následujících zákonů:</w:t>
      </w:r>
    </w:p>
    <w:p w:rsidR="001127FB" w:rsidRPr="001127FB" w:rsidRDefault="001127FB" w:rsidP="001379D0">
      <w:pPr>
        <w:spacing w:after="120"/>
        <w:ind w:firstLine="708"/>
        <w:jc w:val="both"/>
        <w:rPr>
          <w:rFonts w:ascii="Arial" w:hAnsi="Arial" w:cs="Arial"/>
          <w:sz w:val="20"/>
          <w:szCs w:val="20"/>
        </w:rPr>
      </w:pP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1/ Stavební zákon – č. 183/2006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2/ Zákon o požární ochraně – č. 133/1985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3/ Zákon o státní památkové péči – č. 20/1987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4/ Horní zákon – č. 44/1998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5/ Zákon o geologických pracích – č. 62/1988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6/ Zákon o ochraně přírody a krajiny – č. 114/1994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7/ Zákon o zemědělském půdním fondu – č. 334/1992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8/ Zákon o dani z nemovitých věcí – č. 338/1992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 xml:space="preserve">  9/ Zákon o drahách – č. 266/1994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10/ Zákon o vnitrozemské plavbě – č. 114/1995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11/ Zákon o lesích – č. 289/1995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12/ Zákon o pozemních komunikacích – č. 13/1997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13/ Zákon o civilním letectví – č. 49/1997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14/ Zákon o oceňování majetku – č. 151/1997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15/ Zákon o veterinární péči – č. 166/1999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16/ Zákon o nouzových zásobách ropy – č. 189/1999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17/ Zákon o hlavním městě Praze – č.131/2000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18/ Zákon o integrovaném záchranném systému – č. 239/2000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19/ Zákon o hospodaření energií – č. 406/2000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20/ Energetický zákon – č. 458/2000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21/ Zákon o posuzování vlivů na životní prostředí – č. 100/2001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22/ Lázeňský zákon – č. 164/2001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23/ Zákon o odpadech – č. 185/2001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24/ Zákon o vodách – č. 254/2001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25/ Zákon o vodovodech a kanalizacích – č. 274/2001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26/ Zákon o integrované prevenci – č. 76/2002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27/ Zákon pozemkových úpravách – č.139/2002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28/ Zákon o správních poplatcích – č. 634/2004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29/ Zákon o elektronických komunikacích – č. 127/2005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30/ Zákon o prevenci závažných havárií – č. 59/2006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31/ Zákon o pomoci v hmotné nouzi – č. 111/2006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32/ Zákon o pohonných hmotách – č. 311/2006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33/ Zákon o nakládání s těžebním odpadem – č.157/2009 Sb.</w:t>
      </w:r>
    </w:p>
    <w:p w:rsidR="00860867" w:rsidRPr="001127FB" w:rsidRDefault="00860867" w:rsidP="001379D0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34/ Zákon o urychlení výstavby dopravní, vodní a energetické infrastruktury – č. 416/2009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35/ Zákon o ochraně ovzduší – č. 201/2012 Sb.</w:t>
      </w:r>
    </w:p>
    <w:p w:rsidR="00860867" w:rsidRPr="001127FB" w:rsidRDefault="00860867" w:rsidP="00860867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36/ Zákon o Státním pozemkovém úřadu – č. 503/2012 Sb.</w:t>
      </w:r>
    </w:p>
    <w:p w:rsidR="00860867" w:rsidRPr="001127FB" w:rsidRDefault="00860867" w:rsidP="004E4522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27FB">
        <w:rPr>
          <w:rFonts w:ascii="Arial" w:hAnsi="Arial" w:cs="Arial"/>
          <w:sz w:val="20"/>
          <w:szCs w:val="20"/>
        </w:rPr>
        <w:t>37/ Katastrální úřad – č. 256/2013 Sb.</w:t>
      </w:r>
    </w:p>
    <w:sectPr w:rsidR="00860867" w:rsidRPr="001127FB" w:rsidSect="003C58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50" w:rsidRDefault="003A3E50" w:rsidP="00982ED5">
      <w:pPr>
        <w:spacing w:after="0" w:line="240" w:lineRule="auto"/>
      </w:pPr>
      <w:r>
        <w:separator/>
      </w:r>
    </w:p>
  </w:endnote>
  <w:endnote w:type="continuationSeparator" w:id="0">
    <w:p w:rsidR="003A3E50" w:rsidRDefault="003A3E50" w:rsidP="0098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212543"/>
      <w:docPartObj>
        <w:docPartGallery w:val="Page Numbers (Bottom of Page)"/>
        <w:docPartUnique/>
      </w:docPartObj>
    </w:sdtPr>
    <w:sdtContent>
      <w:p w:rsidR="00982ED5" w:rsidRDefault="003C5835">
        <w:pPr>
          <w:pStyle w:val="Zpat"/>
          <w:jc w:val="right"/>
        </w:pPr>
        <w:r>
          <w:fldChar w:fldCharType="begin"/>
        </w:r>
        <w:r w:rsidR="00982ED5">
          <w:instrText>PAGE   \* MERGEFORMAT</w:instrText>
        </w:r>
        <w:r>
          <w:fldChar w:fldCharType="separate"/>
        </w:r>
        <w:r w:rsidR="00CA3AB0">
          <w:rPr>
            <w:noProof/>
          </w:rPr>
          <w:t>5</w:t>
        </w:r>
        <w:r>
          <w:fldChar w:fldCharType="end"/>
        </w:r>
      </w:p>
    </w:sdtContent>
  </w:sdt>
  <w:p w:rsidR="00982ED5" w:rsidRDefault="00982E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50" w:rsidRDefault="003A3E50" w:rsidP="00982ED5">
      <w:pPr>
        <w:spacing w:after="0" w:line="240" w:lineRule="auto"/>
      </w:pPr>
      <w:r>
        <w:separator/>
      </w:r>
    </w:p>
  </w:footnote>
  <w:footnote w:type="continuationSeparator" w:id="0">
    <w:p w:rsidR="003A3E50" w:rsidRDefault="003A3E50" w:rsidP="00982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E2"/>
    <w:multiLevelType w:val="hybridMultilevel"/>
    <w:tmpl w:val="F642E09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1F2"/>
    <w:multiLevelType w:val="hybridMultilevel"/>
    <w:tmpl w:val="26B8C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B61"/>
    <w:multiLevelType w:val="hybridMultilevel"/>
    <w:tmpl w:val="0C6C0754"/>
    <w:lvl w:ilvl="0" w:tplc="B8FE65B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A49C2"/>
    <w:multiLevelType w:val="hybridMultilevel"/>
    <w:tmpl w:val="B532CD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800"/>
    <w:multiLevelType w:val="hybridMultilevel"/>
    <w:tmpl w:val="8C82DA1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DE23B4"/>
    <w:multiLevelType w:val="hybridMultilevel"/>
    <w:tmpl w:val="F1ACE4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B76F4"/>
    <w:multiLevelType w:val="hybridMultilevel"/>
    <w:tmpl w:val="6894898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E4E78"/>
    <w:multiLevelType w:val="hybridMultilevel"/>
    <w:tmpl w:val="615C5A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37898"/>
    <w:multiLevelType w:val="hybridMultilevel"/>
    <w:tmpl w:val="32543ADC"/>
    <w:lvl w:ilvl="0" w:tplc="2FFA0D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2841"/>
    <w:multiLevelType w:val="hybridMultilevel"/>
    <w:tmpl w:val="005E529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1A6FF1"/>
    <w:multiLevelType w:val="hybridMultilevel"/>
    <w:tmpl w:val="96082A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34ABA"/>
    <w:multiLevelType w:val="hybridMultilevel"/>
    <w:tmpl w:val="25F2FE64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30FF1"/>
    <w:multiLevelType w:val="hybridMultilevel"/>
    <w:tmpl w:val="69F4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F55F0"/>
    <w:multiLevelType w:val="hybridMultilevel"/>
    <w:tmpl w:val="D200ED9C"/>
    <w:lvl w:ilvl="0" w:tplc="FA98374C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3F7802"/>
    <w:multiLevelType w:val="hybridMultilevel"/>
    <w:tmpl w:val="43325478"/>
    <w:lvl w:ilvl="0" w:tplc="C888BE76"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>
    <w:nsid w:val="2D4B58B5"/>
    <w:multiLevelType w:val="hybridMultilevel"/>
    <w:tmpl w:val="8D3844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93362"/>
    <w:multiLevelType w:val="hybridMultilevel"/>
    <w:tmpl w:val="06901F94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B6E2509"/>
    <w:multiLevelType w:val="hybridMultilevel"/>
    <w:tmpl w:val="1794C608"/>
    <w:lvl w:ilvl="0" w:tplc="1110F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AC2488"/>
    <w:multiLevelType w:val="hybridMultilevel"/>
    <w:tmpl w:val="680E81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5C5A10"/>
    <w:multiLevelType w:val="hybridMultilevel"/>
    <w:tmpl w:val="C0EA7CD4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43057"/>
    <w:multiLevelType w:val="hybridMultilevel"/>
    <w:tmpl w:val="EF22734A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421DC"/>
    <w:multiLevelType w:val="hybridMultilevel"/>
    <w:tmpl w:val="1952B6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43CE0"/>
    <w:multiLevelType w:val="hybridMultilevel"/>
    <w:tmpl w:val="4B7E734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521CA"/>
    <w:multiLevelType w:val="hybridMultilevel"/>
    <w:tmpl w:val="AAF62C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84318"/>
    <w:multiLevelType w:val="hybridMultilevel"/>
    <w:tmpl w:val="49E2DA4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9DB61E6"/>
    <w:multiLevelType w:val="hybridMultilevel"/>
    <w:tmpl w:val="375AB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A196C"/>
    <w:multiLevelType w:val="hybridMultilevel"/>
    <w:tmpl w:val="89E8EF18"/>
    <w:lvl w:ilvl="0" w:tplc="1736CD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355E5"/>
    <w:multiLevelType w:val="hybridMultilevel"/>
    <w:tmpl w:val="FB1AD9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10FD4"/>
    <w:multiLevelType w:val="hybridMultilevel"/>
    <w:tmpl w:val="1780F982"/>
    <w:lvl w:ilvl="0" w:tplc="829AD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53C0"/>
    <w:multiLevelType w:val="hybridMultilevel"/>
    <w:tmpl w:val="8638AB8E"/>
    <w:lvl w:ilvl="0" w:tplc="E67CB6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F1A1F"/>
    <w:multiLevelType w:val="multilevel"/>
    <w:tmpl w:val="E41ED09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577"/>
        </w:tabs>
        <w:ind w:left="577" w:hanging="435"/>
      </w:pPr>
      <w:rPr>
        <w:rFonts w:hint="default"/>
        <w:color w:val="auto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D2278C1"/>
    <w:multiLevelType w:val="hybridMultilevel"/>
    <w:tmpl w:val="9176F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5D2FDE"/>
    <w:multiLevelType w:val="hybridMultilevel"/>
    <w:tmpl w:val="B38A592E"/>
    <w:lvl w:ilvl="0" w:tplc="4DDC5998">
      <w:numFmt w:val="bullet"/>
      <w:lvlText w:val="-"/>
      <w:lvlJc w:val="left"/>
      <w:pPr>
        <w:ind w:left="20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700703B2"/>
    <w:multiLevelType w:val="hybridMultilevel"/>
    <w:tmpl w:val="E2B242CE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F3F63"/>
    <w:multiLevelType w:val="hybridMultilevel"/>
    <w:tmpl w:val="D45A240A"/>
    <w:lvl w:ilvl="0" w:tplc="4D563B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D667E"/>
    <w:multiLevelType w:val="hybridMultilevel"/>
    <w:tmpl w:val="BA8C0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53F8C"/>
    <w:multiLevelType w:val="hybridMultilevel"/>
    <w:tmpl w:val="58006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16186"/>
    <w:multiLevelType w:val="hybridMultilevel"/>
    <w:tmpl w:val="161EE7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66EFA"/>
    <w:multiLevelType w:val="hybridMultilevel"/>
    <w:tmpl w:val="971C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25E5A"/>
    <w:multiLevelType w:val="hybridMultilevel"/>
    <w:tmpl w:val="02C6B1A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620AE"/>
    <w:multiLevelType w:val="hybridMultilevel"/>
    <w:tmpl w:val="DC2AF516"/>
    <w:lvl w:ilvl="0" w:tplc="3F88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F88A5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80AE5"/>
    <w:multiLevelType w:val="hybridMultilevel"/>
    <w:tmpl w:val="4EB00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E0C80"/>
    <w:multiLevelType w:val="hybridMultilevel"/>
    <w:tmpl w:val="743469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7"/>
  </w:num>
  <w:num w:numId="4">
    <w:abstractNumId w:val="9"/>
  </w:num>
  <w:num w:numId="5">
    <w:abstractNumId w:val="4"/>
  </w:num>
  <w:num w:numId="6">
    <w:abstractNumId w:val="7"/>
  </w:num>
  <w:num w:numId="7">
    <w:abstractNumId w:val="14"/>
  </w:num>
  <w:num w:numId="8">
    <w:abstractNumId w:val="32"/>
  </w:num>
  <w:num w:numId="9">
    <w:abstractNumId w:val="28"/>
  </w:num>
  <w:num w:numId="10">
    <w:abstractNumId w:val="3"/>
  </w:num>
  <w:num w:numId="11">
    <w:abstractNumId w:val="19"/>
  </w:num>
  <w:num w:numId="12">
    <w:abstractNumId w:val="18"/>
  </w:num>
  <w:num w:numId="13">
    <w:abstractNumId w:val="21"/>
  </w:num>
  <w:num w:numId="14">
    <w:abstractNumId w:val="23"/>
  </w:num>
  <w:num w:numId="15">
    <w:abstractNumId w:val="37"/>
  </w:num>
  <w:num w:numId="16">
    <w:abstractNumId w:val="35"/>
  </w:num>
  <w:num w:numId="17">
    <w:abstractNumId w:val="16"/>
  </w:num>
  <w:num w:numId="18">
    <w:abstractNumId w:val="10"/>
  </w:num>
  <w:num w:numId="19">
    <w:abstractNumId w:val="42"/>
  </w:num>
  <w:num w:numId="20">
    <w:abstractNumId w:val="25"/>
  </w:num>
  <w:num w:numId="21">
    <w:abstractNumId w:val="2"/>
  </w:num>
  <w:num w:numId="22">
    <w:abstractNumId w:val="30"/>
  </w:num>
  <w:num w:numId="23">
    <w:abstractNumId w:val="34"/>
  </w:num>
  <w:num w:numId="24">
    <w:abstractNumId w:val="40"/>
  </w:num>
  <w:num w:numId="25">
    <w:abstractNumId w:val="12"/>
  </w:num>
  <w:num w:numId="26">
    <w:abstractNumId w:val="26"/>
  </w:num>
  <w:num w:numId="27">
    <w:abstractNumId w:val="41"/>
  </w:num>
  <w:num w:numId="28">
    <w:abstractNumId w:val="24"/>
  </w:num>
  <w:num w:numId="29">
    <w:abstractNumId w:val="8"/>
  </w:num>
  <w:num w:numId="30">
    <w:abstractNumId w:val="29"/>
  </w:num>
  <w:num w:numId="31">
    <w:abstractNumId w:val="5"/>
  </w:num>
  <w:num w:numId="32">
    <w:abstractNumId w:val="20"/>
  </w:num>
  <w:num w:numId="33">
    <w:abstractNumId w:val="31"/>
  </w:num>
  <w:num w:numId="34">
    <w:abstractNumId w:val="38"/>
  </w:num>
  <w:num w:numId="35">
    <w:abstractNumId w:val="33"/>
  </w:num>
  <w:num w:numId="36">
    <w:abstractNumId w:val="11"/>
  </w:num>
  <w:num w:numId="37">
    <w:abstractNumId w:val="0"/>
  </w:num>
  <w:num w:numId="38">
    <w:abstractNumId w:val="6"/>
  </w:num>
  <w:num w:numId="39">
    <w:abstractNumId w:val="36"/>
  </w:num>
  <w:num w:numId="40">
    <w:abstractNumId w:val="27"/>
  </w:num>
  <w:num w:numId="41">
    <w:abstractNumId w:val="1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ADA"/>
    <w:rsid w:val="00000300"/>
    <w:rsid w:val="00036F8C"/>
    <w:rsid w:val="00076109"/>
    <w:rsid w:val="000A2AC8"/>
    <w:rsid w:val="000A7DD2"/>
    <w:rsid w:val="000B29D9"/>
    <w:rsid w:val="000C4A62"/>
    <w:rsid w:val="000C57AA"/>
    <w:rsid w:val="000E428A"/>
    <w:rsid w:val="001127FB"/>
    <w:rsid w:val="0011452A"/>
    <w:rsid w:val="001308F3"/>
    <w:rsid w:val="001379D0"/>
    <w:rsid w:val="00143498"/>
    <w:rsid w:val="001579BF"/>
    <w:rsid w:val="001C1341"/>
    <w:rsid w:val="001D2E67"/>
    <w:rsid w:val="002622FC"/>
    <w:rsid w:val="002662C6"/>
    <w:rsid w:val="0027535F"/>
    <w:rsid w:val="002816BE"/>
    <w:rsid w:val="00285D20"/>
    <w:rsid w:val="002A234C"/>
    <w:rsid w:val="002B0A98"/>
    <w:rsid w:val="002B1B04"/>
    <w:rsid w:val="002F7FA8"/>
    <w:rsid w:val="003236F3"/>
    <w:rsid w:val="0032791D"/>
    <w:rsid w:val="00345BF9"/>
    <w:rsid w:val="00346636"/>
    <w:rsid w:val="0039267E"/>
    <w:rsid w:val="003A3E50"/>
    <w:rsid w:val="003B62AA"/>
    <w:rsid w:val="003B731F"/>
    <w:rsid w:val="003C521A"/>
    <w:rsid w:val="003C5835"/>
    <w:rsid w:val="003D2F9F"/>
    <w:rsid w:val="003D2FEA"/>
    <w:rsid w:val="003E4915"/>
    <w:rsid w:val="003E5252"/>
    <w:rsid w:val="003E6B7F"/>
    <w:rsid w:val="00406FE4"/>
    <w:rsid w:val="00461B0E"/>
    <w:rsid w:val="00461F69"/>
    <w:rsid w:val="00467FA8"/>
    <w:rsid w:val="00471928"/>
    <w:rsid w:val="00476CBA"/>
    <w:rsid w:val="00487C74"/>
    <w:rsid w:val="00493D2F"/>
    <w:rsid w:val="004A4B8D"/>
    <w:rsid w:val="004E4522"/>
    <w:rsid w:val="004F7BB6"/>
    <w:rsid w:val="00503B0C"/>
    <w:rsid w:val="00505E0E"/>
    <w:rsid w:val="00542DEA"/>
    <w:rsid w:val="00551C7D"/>
    <w:rsid w:val="005A29E7"/>
    <w:rsid w:val="005E12E2"/>
    <w:rsid w:val="00625BD4"/>
    <w:rsid w:val="006674B4"/>
    <w:rsid w:val="0068115D"/>
    <w:rsid w:val="006D779C"/>
    <w:rsid w:val="006E23BA"/>
    <w:rsid w:val="00733C2E"/>
    <w:rsid w:val="007412D3"/>
    <w:rsid w:val="007839E1"/>
    <w:rsid w:val="00784B79"/>
    <w:rsid w:val="007B2918"/>
    <w:rsid w:val="007E2205"/>
    <w:rsid w:val="00813681"/>
    <w:rsid w:val="00823A5F"/>
    <w:rsid w:val="00830898"/>
    <w:rsid w:val="00860867"/>
    <w:rsid w:val="00871A14"/>
    <w:rsid w:val="00886335"/>
    <w:rsid w:val="008C1081"/>
    <w:rsid w:val="00905797"/>
    <w:rsid w:val="00907B69"/>
    <w:rsid w:val="00907EC9"/>
    <w:rsid w:val="00915156"/>
    <w:rsid w:val="00921E38"/>
    <w:rsid w:val="00923811"/>
    <w:rsid w:val="0095000D"/>
    <w:rsid w:val="00975222"/>
    <w:rsid w:val="00982ED5"/>
    <w:rsid w:val="009A02A2"/>
    <w:rsid w:val="009C73D3"/>
    <w:rsid w:val="009D15E4"/>
    <w:rsid w:val="009D626B"/>
    <w:rsid w:val="00A07560"/>
    <w:rsid w:val="00A11B64"/>
    <w:rsid w:val="00A24CB2"/>
    <w:rsid w:val="00A91F59"/>
    <w:rsid w:val="00AA3B50"/>
    <w:rsid w:val="00AB6371"/>
    <w:rsid w:val="00AC0576"/>
    <w:rsid w:val="00AF49DE"/>
    <w:rsid w:val="00AF72FB"/>
    <w:rsid w:val="00B03194"/>
    <w:rsid w:val="00B1752C"/>
    <w:rsid w:val="00B24F67"/>
    <w:rsid w:val="00B74ADA"/>
    <w:rsid w:val="00B86735"/>
    <w:rsid w:val="00B93A6F"/>
    <w:rsid w:val="00BC225A"/>
    <w:rsid w:val="00BF191F"/>
    <w:rsid w:val="00C103B0"/>
    <w:rsid w:val="00C30C11"/>
    <w:rsid w:val="00C4528F"/>
    <w:rsid w:val="00C808E7"/>
    <w:rsid w:val="00C916A8"/>
    <w:rsid w:val="00CA3AB0"/>
    <w:rsid w:val="00D104BF"/>
    <w:rsid w:val="00D62278"/>
    <w:rsid w:val="00D92036"/>
    <w:rsid w:val="00DC0215"/>
    <w:rsid w:val="00DF18D9"/>
    <w:rsid w:val="00E177D6"/>
    <w:rsid w:val="00E21690"/>
    <w:rsid w:val="00E33681"/>
    <w:rsid w:val="00E63B04"/>
    <w:rsid w:val="00E77093"/>
    <w:rsid w:val="00E95913"/>
    <w:rsid w:val="00E95E0C"/>
    <w:rsid w:val="00EC7F8B"/>
    <w:rsid w:val="00ED1A89"/>
    <w:rsid w:val="00ED663B"/>
    <w:rsid w:val="00F311AB"/>
    <w:rsid w:val="00F45708"/>
    <w:rsid w:val="00F83FF7"/>
    <w:rsid w:val="00F9707D"/>
    <w:rsid w:val="00FB0BFC"/>
    <w:rsid w:val="00FD1859"/>
    <w:rsid w:val="00FE58F3"/>
    <w:rsid w:val="00FF0DA9"/>
    <w:rsid w:val="00FF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8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ED5"/>
  </w:style>
  <w:style w:type="paragraph" w:styleId="Zpat">
    <w:name w:val="footer"/>
    <w:basedOn w:val="Normln"/>
    <w:link w:val="Zpat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ED5"/>
  </w:style>
  <w:style w:type="paragraph" w:styleId="Textbubliny">
    <w:name w:val="Balloon Text"/>
    <w:basedOn w:val="Normln"/>
    <w:link w:val="TextbublinyChar"/>
    <w:uiPriority w:val="99"/>
    <w:semiHidden/>
    <w:unhideWhenUsed/>
    <w:rsid w:val="009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ln"/>
    <w:rsid w:val="007B29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rsid w:val="007B2918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7B2918"/>
    <w:pPr>
      <w:numPr>
        <w:ilvl w:val="2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43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4A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ED5"/>
  </w:style>
  <w:style w:type="paragraph" w:styleId="Zpat">
    <w:name w:val="footer"/>
    <w:basedOn w:val="Normln"/>
    <w:link w:val="ZpatChar"/>
    <w:uiPriority w:val="99"/>
    <w:unhideWhenUsed/>
    <w:rsid w:val="0098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ED5"/>
  </w:style>
  <w:style w:type="paragraph" w:styleId="Textbubliny">
    <w:name w:val="Balloon Text"/>
    <w:basedOn w:val="Normln"/>
    <w:link w:val="TextbublinyChar"/>
    <w:uiPriority w:val="99"/>
    <w:semiHidden/>
    <w:unhideWhenUsed/>
    <w:rsid w:val="0092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81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n"/>
    <w:rsid w:val="007B29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rsid w:val="007B2918"/>
    <w:pPr>
      <w:numPr>
        <w:numId w:val="2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7B2918"/>
    <w:pPr>
      <w:numPr>
        <w:ilvl w:val="2"/>
        <w:numId w:val="22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vraznn">
    <w:name w:val="Emphasis"/>
    <w:basedOn w:val="Standardnpsmoodstavce"/>
    <w:uiPriority w:val="20"/>
    <w:qFormat/>
    <w:rsid w:val="00143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C78B-1D8E-4C2F-8A62-6FDCAA1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1947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</dc:creator>
  <cp:lastModifiedBy>OSPZV3 ospzv3</cp:lastModifiedBy>
  <cp:revision>2</cp:revision>
  <cp:lastPrinted>2015-09-22T11:28:00Z</cp:lastPrinted>
  <dcterms:created xsi:type="dcterms:W3CDTF">2015-09-22T11:30:00Z</dcterms:created>
  <dcterms:modified xsi:type="dcterms:W3CDTF">2015-09-22T11:30:00Z</dcterms:modified>
</cp:coreProperties>
</file>