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8" w:rsidRPr="003C0BAA" w:rsidRDefault="00E10F0A" w:rsidP="00EE775C">
      <w:pPr>
        <w:pStyle w:val="Podtitul"/>
        <w:ind w:right="283"/>
        <w:jc w:val="right"/>
        <w:rPr>
          <w:sz w:val="20"/>
          <w:szCs w:val="20"/>
        </w:rPr>
      </w:pPr>
      <w:bookmarkStart w:id="0" w:name="_Toc401148478"/>
      <w:bookmarkStart w:id="1" w:name="_Toc401842262"/>
      <w:r w:rsidRPr="003C0BAA">
        <w:rPr>
          <w:sz w:val="20"/>
          <w:szCs w:val="20"/>
        </w:rPr>
        <w:tab/>
      </w:r>
    </w:p>
    <w:p w:rsidR="001330C8" w:rsidRPr="003C0BAA" w:rsidRDefault="001330C8" w:rsidP="001330C8">
      <w:pPr>
        <w:rPr>
          <w:rFonts w:ascii="Arial" w:hAnsi="Arial" w:cs="Arial"/>
          <w:sz w:val="20"/>
          <w:szCs w:val="20"/>
        </w:rPr>
      </w:pPr>
    </w:p>
    <w:p w:rsidR="001330C8" w:rsidRPr="003C0BAA" w:rsidRDefault="001330C8" w:rsidP="001330C8">
      <w:pPr>
        <w:rPr>
          <w:rFonts w:ascii="Arial" w:hAnsi="Arial" w:cs="Arial"/>
          <w:sz w:val="20"/>
          <w:szCs w:val="20"/>
        </w:rPr>
      </w:pPr>
    </w:p>
    <w:p w:rsidR="001330C8" w:rsidRPr="003C0BAA" w:rsidRDefault="001330C8" w:rsidP="001330C8">
      <w:pPr>
        <w:rPr>
          <w:rFonts w:ascii="Arial" w:hAnsi="Arial" w:cs="Arial"/>
          <w:sz w:val="20"/>
          <w:szCs w:val="20"/>
        </w:rPr>
      </w:pPr>
    </w:p>
    <w:p w:rsidR="004D3259" w:rsidRDefault="004D3259" w:rsidP="004D3259">
      <w:pPr>
        <w:pStyle w:val="Titulnstrana"/>
      </w:pPr>
    </w:p>
    <w:p w:rsidR="004D3259" w:rsidRDefault="004D3259" w:rsidP="004D3259">
      <w:pPr>
        <w:pStyle w:val="Titulnstrana"/>
      </w:pPr>
      <w:r>
        <w:t>Ministerstvo pro místní rozvoj</w:t>
      </w:r>
    </w:p>
    <w:p w:rsidR="004D3259" w:rsidRDefault="004D3259" w:rsidP="004D3259">
      <w:pPr>
        <w:pStyle w:val="Titulnstrana"/>
      </w:pPr>
      <w:r>
        <w:t>Národní orgán pro koordinaci</w:t>
      </w:r>
    </w:p>
    <w:p w:rsidR="004D3259" w:rsidRPr="003C0BAA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Pr="003C0BAA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Pr="003C0BAA" w:rsidRDefault="004D3259" w:rsidP="004D3259">
      <w:pPr>
        <w:rPr>
          <w:rFonts w:ascii="Arial" w:hAnsi="Arial" w:cs="Arial"/>
          <w:sz w:val="20"/>
          <w:szCs w:val="20"/>
        </w:rPr>
      </w:pPr>
    </w:p>
    <w:p w:rsidR="004D3259" w:rsidRPr="00122069" w:rsidRDefault="004D3259" w:rsidP="004D3259">
      <w:pPr>
        <w:jc w:val="center"/>
        <w:rPr>
          <w:rFonts w:ascii="Arial" w:hAnsi="Arial" w:cs="Arial"/>
          <w:b/>
          <w:sz w:val="36"/>
          <w:szCs w:val="36"/>
        </w:rPr>
      </w:pPr>
      <w:r w:rsidRPr="00122069">
        <w:rPr>
          <w:rFonts w:ascii="Arial" w:hAnsi="Arial" w:cs="Arial"/>
          <w:b/>
          <w:sz w:val="36"/>
          <w:szCs w:val="36"/>
        </w:rPr>
        <w:t xml:space="preserve">Informace o plnění </w:t>
      </w:r>
      <w:r w:rsidRPr="00122069">
        <w:rPr>
          <w:rFonts w:ascii="Arial" w:eastAsia="Times New Roman" w:hAnsi="Arial" w:cs="Arial"/>
          <w:b/>
          <w:iCs/>
          <w:sz w:val="36"/>
          <w:szCs w:val="36"/>
        </w:rPr>
        <w:t>předběžných podmínek – aktuální stav, hlavní rizika a postupy</w:t>
      </w: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Pr="007B0F83" w:rsidRDefault="004D3259" w:rsidP="004D3259">
      <w:pPr>
        <w:spacing w:before="0" w:line="240" w:lineRule="auto"/>
        <w:jc w:val="center"/>
        <w:rPr>
          <w:rFonts w:ascii="Arial" w:hAnsi="Arial" w:cs="Arial"/>
        </w:rPr>
      </w:pPr>
      <w:r w:rsidRPr="007B0F83">
        <w:rPr>
          <w:rFonts w:ascii="Arial" w:eastAsia="Calibri" w:hAnsi="Arial" w:cs="Arial"/>
          <w:sz w:val="28"/>
          <w:szCs w:val="28"/>
        </w:rPr>
        <w:t>Podklad pro jednání 122. Plenární schůze RHSD ČR</w:t>
      </w: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left"/>
      </w:pPr>
    </w:p>
    <w:p w:rsidR="004D3259" w:rsidRDefault="004D3259" w:rsidP="004D3259">
      <w:pPr>
        <w:spacing w:before="0" w:line="240" w:lineRule="auto"/>
        <w:jc w:val="center"/>
        <w:rPr>
          <w:rFonts w:ascii="Arial" w:hAnsi="Arial" w:cs="Arial"/>
        </w:rPr>
      </w:pPr>
    </w:p>
    <w:p w:rsidR="004D3259" w:rsidRDefault="004D3259" w:rsidP="004D3259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4D3259" w:rsidRDefault="004D3259" w:rsidP="004D3259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4D3259" w:rsidRDefault="004D3259" w:rsidP="004D3259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4D3259" w:rsidRDefault="004D3259" w:rsidP="004D3259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Září 2015</w:t>
      </w:r>
    </w:p>
    <w:p w:rsidR="00E07C52" w:rsidRPr="00952B56" w:rsidRDefault="00E07C52" w:rsidP="00952B56">
      <w:pPr>
        <w:pStyle w:val="Nadpis1"/>
        <w:numPr>
          <w:ilvl w:val="0"/>
          <w:numId w:val="0"/>
        </w:numPr>
        <w:ind w:left="432" w:hanging="432"/>
      </w:pPr>
      <w:bookmarkStart w:id="2" w:name="_Toc422140937"/>
      <w:bookmarkStart w:id="3" w:name="_Toc422142868"/>
      <w:r w:rsidRPr="00952B56">
        <w:lastRenderedPageBreak/>
        <w:t>Předběžné podmínky</w:t>
      </w:r>
      <w:bookmarkEnd w:id="2"/>
      <w:bookmarkEnd w:id="3"/>
    </w:p>
    <w:p w:rsidR="00E07C52" w:rsidRPr="00952B56" w:rsidRDefault="00E07C52" w:rsidP="00952B56">
      <w:pPr>
        <w:pStyle w:val="Nadpis2"/>
        <w:numPr>
          <w:ilvl w:val="0"/>
          <w:numId w:val="42"/>
        </w:numPr>
        <w:ind w:left="284" w:hanging="284"/>
      </w:pPr>
      <w:bookmarkStart w:id="4" w:name="_Toc422140938"/>
      <w:bookmarkStart w:id="5" w:name="_Toc422142601"/>
      <w:bookmarkStart w:id="6" w:name="_Toc422142869"/>
      <w:r w:rsidRPr="00952B56">
        <w:t>Mechanismus sledování</w:t>
      </w:r>
      <w:bookmarkEnd w:id="4"/>
      <w:bookmarkEnd w:id="5"/>
      <w:bookmarkEnd w:id="6"/>
      <w:r w:rsidR="003C282D" w:rsidRPr="00952B56">
        <w:t xml:space="preserve"> a </w:t>
      </w:r>
      <w:r w:rsidR="007426F4" w:rsidRPr="00952B56">
        <w:t>Čtvrtletní</w:t>
      </w:r>
      <w:r w:rsidR="003C282D" w:rsidRPr="00952B56">
        <w:t xml:space="preserve"> reporting</w:t>
      </w:r>
    </w:p>
    <w:p w:rsidR="00E07C52" w:rsidRPr="003C0BAA" w:rsidRDefault="00BB1700" w:rsidP="001414DB">
      <w:pPr>
        <w:spacing w:before="0" w:after="120"/>
        <w:rPr>
          <w:rFonts w:ascii="Arial" w:hAnsi="Arial" w:cs="Arial"/>
          <w:sz w:val="20"/>
          <w:szCs w:val="20"/>
        </w:rPr>
      </w:pPr>
      <w:r w:rsidRPr="003C0BAA">
        <w:rPr>
          <w:rFonts w:ascii="Arial" w:hAnsi="Arial" w:cs="Arial"/>
          <w:b/>
          <w:sz w:val="20"/>
          <w:szCs w:val="20"/>
        </w:rPr>
        <w:t>P</w:t>
      </w:r>
      <w:r w:rsidR="00E07C52" w:rsidRPr="003C0BAA">
        <w:rPr>
          <w:rFonts w:ascii="Arial" w:hAnsi="Arial" w:cs="Arial"/>
          <w:b/>
          <w:sz w:val="20"/>
          <w:szCs w:val="20"/>
        </w:rPr>
        <w:t>ředběžné podmínky (PP)</w:t>
      </w:r>
      <w:r w:rsidRPr="003C0BAA">
        <w:rPr>
          <w:rFonts w:ascii="Arial" w:hAnsi="Arial" w:cs="Arial"/>
          <w:b/>
          <w:sz w:val="20"/>
          <w:szCs w:val="20"/>
        </w:rPr>
        <w:t xml:space="preserve"> zůstávají</w:t>
      </w:r>
      <w:r w:rsidR="00E07C52" w:rsidRPr="003C0BAA">
        <w:rPr>
          <w:rFonts w:ascii="Arial" w:hAnsi="Arial" w:cs="Arial"/>
          <w:b/>
          <w:sz w:val="20"/>
          <w:szCs w:val="20"/>
        </w:rPr>
        <w:t xml:space="preserve"> i </w:t>
      </w:r>
      <w:r w:rsidRPr="003C0BAA">
        <w:rPr>
          <w:rFonts w:ascii="Arial" w:hAnsi="Arial" w:cs="Arial"/>
          <w:b/>
          <w:sz w:val="20"/>
          <w:szCs w:val="20"/>
        </w:rPr>
        <w:t>po schválení programů ze strany Evropské komise</w:t>
      </w:r>
      <w:r w:rsidR="00F94EF5">
        <w:rPr>
          <w:rFonts w:ascii="Arial" w:hAnsi="Arial" w:cs="Arial"/>
          <w:b/>
          <w:sz w:val="20"/>
          <w:szCs w:val="20"/>
        </w:rPr>
        <w:t xml:space="preserve"> (EK)</w:t>
      </w:r>
      <w:r w:rsidR="00952B56">
        <w:rPr>
          <w:rFonts w:ascii="Arial" w:hAnsi="Arial" w:cs="Arial"/>
          <w:b/>
          <w:sz w:val="20"/>
          <w:szCs w:val="20"/>
        </w:rPr>
        <w:t xml:space="preserve"> i </w:t>
      </w:r>
      <w:r w:rsidR="00E07C52" w:rsidRPr="003C0BAA">
        <w:rPr>
          <w:rFonts w:ascii="Arial" w:hAnsi="Arial" w:cs="Arial"/>
          <w:b/>
          <w:sz w:val="20"/>
          <w:szCs w:val="20"/>
        </w:rPr>
        <w:t>nadále stěžejním tématem</w:t>
      </w:r>
      <w:r w:rsidR="00E07C52" w:rsidRPr="003C0BAA">
        <w:rPr>
          <w:rFonts w:ascii="Arial" w:hAnsi="Arial" w:cs="Arial"/>
          <w:sz w:val="20"/>
          <w:szCs w:val="20"/>
        </w:rPr>
        <w:t xml:space="preserve">, který EK bude sledovat a monitorovat. </w:t>
      </w:r>
    </w:p>
    <w:p w:rsidR="00BD7542" w:rsidRPr="00BD7542" w:rsidRDefault="00AF1715" w:rsidP="001414DB">
      <w:pPr>
        <w:spacing w:before="0"/>
        <w:rPr>
          <w:rFonts w:ascii="Arial" w:hAnsi="Arial" w:cs="Arial"/>
          <w:sz w:val="20"/>
          <w:szCs w:val="20"/>
        </w:rPr>
      </w:pPr>
      <w:r w:rsidRPr="003C0BAA">
        <w:rPr>
          <w:rFonts w:ascii="Arial" w:hAnsi="Arial" w:cs="Arial"/>
          <w:sz w:val="20"/>
          <w:szCs w:val="20"/>
        </w:rPr>
        <w:t xml:space="preserve">Na základě požadavku Evropské komise a s ohledem na význam naplňování </w:t>
      </w:r>
      <w:r w:rsidR="00F94EF5">
        <w:rPr>
          <w:rFonts w:ascii="Arial" w:hAnsi="Arial" w:cs="Arial"/>
          <w:sz w:val="20"/>
          <w:szCs w:val="20"/>
        </w:rPr>
        <w:t>PP</w:t>
      </w:r>
      <w:r w:rsidRPr="003C0BAA">
        <w:rPr>
          <w:rFonts w:ascii="Arial" w:hAnsi="Arial" w:cs="Arial"/>
          <w:sz w:val="20"/>
          <w:szCs w:val="20"/>
        </w:rPr>
        <w:t xml:space="preserve"> připravilo Ministerstvo pro místní rozvoj ve spolupráci s gestory a </w:t>
      </w:r>
      <w:proofErr w:type="spellStart"/>
      <w:r w:rsidRPr="003C0BAA">
        <w:rPr>
          <w:rFonts w:ascii="Arial" w:hAnsi="Arial" w:cs="Arial"/>
          <w:sz w:val="20"/>
          <w:szCs w:val="20"/>
        </w:rPr>
        <w:t>spolugestory</w:t>
      </w:r>
      <w:proofErr w:type="spellEnd"/>
      <w:r w:rsidRPr="003C0BAA">
        <w:rPr>
          <w:rFonts w:ascii="Arial" w:hAnsi="Arial" w:cs="Arial"/>
          <w:sz w:val="20"/>
          <w:szCs w:val="20"/>
        </w:rPr>
        <w:t xml:space="preserve"> </w:t>
      </w:r>
      <w:r w:rsidR="00F94EF5">
        <w:rPr>
          <w:rFonts w:ascii="Arial" w:hAnsi="Arial" w:cs="Arial"/>
          <w:sz w:val="20"/>
          <w:szCs w:val="20"/>
        </w:rPr>
        <w:t>PP</w:t>
      </w:r>
      <w:r w:rsidR="00087521">
        <w:rPr>
          <w:rFonts w:ascii="Arial" w:hAnsi="Arial" w:cs="Arial"/>
          <w:sz w:val="20"/>
          <w:szCs w:val="20"/>
        </w:rPr>
        <w:t xml:space="preserve"> </w:t>
      </w:r>
      <w:r w:rsidR="004A1610">
        <w:rPr>
          <w:rFonts w:ascii="Arial" w:hAnsi="Arial" w:cs="Arial"/>
          <w:sz w:val="20"/>
          <w:szCs w:val="20"/>
        </w:rPr>
        <w:t xml:space="preserve">monitorovací </w:t>
      </w:r>
      <w:r w:rsidR="007426F4">
        <w:rPr>
          <w:rFonts w:ascii="Arial" w:hAnsi="Arial" w:cs="Arial"/>
          <w:sz w:val="20"/>
          <w:szCs w:val="20"/>
        </w:rPr>
        <w:t>Čtvrtletní</w:t>
      </w:r>
      <w:r w:rsidR="004A1610">
        <w:rPr>
          <w:rFonts w:ascii="Arial" w:hAnsi="Arial" w:cs="Arial"/>
          <w:sz w:val="20"/>
          <w:szCs w:val="20"/>
        </w:rPr>
        <w:t xml:space="preserve"> </w:t>
      </w:r>
      <w:r w:rsidRPr="003C0BAA">
        <w:rPr>
          <w:rFonts w:ascii="Arial" w:hAnsi="Arial" w:cs="Arial"/>
          <w:sz w:val="20"/>
          <w:szCs w:val="20"/>
        </w:rPr>
        <w:t>zprávu</w:t>
      </w:r>
      <w:r w:rsidR="004A1610">
        <w:rPr>
          <w:rFonts w:ascii="Arial" w:hAnsi="Arial" w:cs="Arial"/>
          <w:sz w:val="20"/>
          <w:szCs w:val="20"/>
        </w:rPr>
        <w:t xml:space="preserve"> o stavu naplňování předběžných podmínek pro informaci</w:t>
      </w:r>
      <w:r w:rsidR="00045B16" w:rsidRPr="003C0BAA">
        <w:rPr>
          <w:rFonts w:ascii="Arial" w:hAnsi="Arial" w:cs="Arial"/>
          <w:sz w:val="20"/>
          <w:szCs w:val="20"/>
        </w:rPr>
        <w:t xml:space="preserve"> Evropsk</w:t>
      </w:r>
      <w:r w:rsidR="00087521">
        <w:rPr>
          <w:rFonts w:ascii="Arial" w:hAnsi="Arial" w:cs="Arial"/>
          <w:sz w:val="20"/>
          <w:szCs w:val="20"/>
        </w:rPr>
        <w:t>é</w:t>
      </w:r>
      <w:r w:rsidR="00045B16" w:rsidRPr="003C0BAA">
        <w:rPr>
          <w:rFonts w:ascii="Arial" w:hAnsi="Arial" w:cs="Arial"/>
          <w:sz w:val="20"/>
          <w:szCs w:val="20"/>
        </w:rPr>
        <w:t xml:space="preserve"> kom</w:t>
      </w:r>
      <w:r w:rsidR="009025FC" w:rsidRPr="003C0BAA">
        <w:rPr>
          <w:rFonts w:ascii="Arial" w:hAnsi="Arial" w:cs="Arial"/>
          <w:sz w:val="20"/>
          <w:szCs w:val="20"/>
        </w:rPr>
        <w:t>i</w:t>
      </w:r>
      <w:r w:rsidR="00045B16" w:rsidRPr="003C0BAA">
        <w:rPr>
          <w:rFonts w:ascii="Arial" w:hAnsi="Arial" w:cs="Arial"/>
          <w:sz w:val="20"/>
          <w:szCs w:val="20"/>
        </w:rPr>
        <w:t>s</w:t>
      </w:r>
      <w:r w:rsidR="00087521">
        <w:rPr>
          <w:rFonts w:ascii="Arial" w:hAnsi="Arial" w:cs="Arial"/>
          <w:sz w:val="20"/>
          <w:szCs w:val="20"/>
        </w:rPr>
        <w:t xml:space="preserve">e za období </w:t>
      </w:r>
      <w:r w:rsidR="00952B56">
        <w:rPr>
          <w:rFonts w:ascii="Arial" w:hAnsi="Arial" w:cs="Arial"/>
          <w:sz w:val="20"/>
          <w:szCs w:val="20"/>
        </w:rPr>
        <w:br/>
      </w:r>
      <w:r w:rsidR="00087521">
        <w:rPr>
          <w:rFonts w:ascii="Arial" w:hAnsi="Arial" w:cs="Arial"/>
          <w:sz w:val="20"/>
          <w:szCs w:val="20"/>
        </w:rPr>
        <w:t>březen – květen 2015 (dále „</w:t>
      </w:r>
      <w:r w:rsidR="007426F4">
        <w:rPr>
          <w:rFonts w:ascii="Arial" w:hAnsi="Arial" w:cs="Arial"/>
          <w:sz w:val="20"/>
          <w:szCs w:val="20"/>
        </w:rPr>
        <w:t>Čtvrtletní</w:t>
      </w:r>
      <w:r w:rsidR="00087521">
        <w:rPr>
          <w:rFonts w:ascii="Arial" w:hAnsi="Arial" w:cs="Arial"/>
          <w:sz w:val="20"/>
          <w:szCs w:val="20"/>
        </w:rPr>
        <w:t xml:space="preserve"> zpráva“),</w:t>
      </w:r>
      <w:r w:rsidR="00A440E6" w:rsidRPr="003C0BAA">
        <w:rPr>
          <w:rFonts w:ascii="Arial" w:hAnsi="Arial" w:cs="Arial"/>
          <w:sz w:val="20"/>
          <w:szCs w:val="20"/>
        </w:rPr>
        <w:t xml:space="preserve"> </w:t>
      </w:r>
      <w:r w:rsidRPr="003C0BAA">
        <w:rPr>
          <w:rFonts w:ascii="Arial" w:hAnsi="Arial" w:cs="Arial"/>
          <w:sz w:val="20"/>
          <w:szCs w:val="20"/>
        </w:rPr>
        <w:t xml:space="preserve">ve které je popsán aktuální stav plnění v rozhodném období, další postup dle předem vydefinovaného harmonogramu a zejména identifikace možných rizik. </w:t>
      </w:r>
      <w:r w:rsidR="007426F4">
        <w:rPr>
          <w:rFonts w:ascii="Arial" w:hAnsi="Arial" w:cs="Arial"/>
          <w:sz w:val="20"/>
          <w:szCs w:val="20"/>
        </w:rPr>
        <w:t>Čtvrtletní</w:t>
      </w:r>
      <w:r w:rsidR="004A1610">
        <w:rPr>
          <w:rFonts w:ascii="Arial" w:hAnsi="Arial" w:cs="Arial"/>
          <w:sz w:val="20"/>
          <w:szCs w:val="20"/>
        </w:rPr>
        <w:t xml:space="preserve"> zpráva byla předložena </w:t>
      </w:r>
      <w:r w:rsidR="00D52F65">
        <w:rPr>
          <w:rFonts w:ascii="Arial" w:hAnsi="Arial" w:cs="Arial"/>
          <w:sz w:val="20"/>
          <w:szCs w:val="20"/>
        </w:rPr>
        <w:t>v</w:t>
      </w:r>
      <w:r w:rsidR="004A1610">
        <w:rPr>
          <w:rFonts w:ascii="Arial" w:hAnsi="Arial" w:cs="Arial"/>
          <w:sz w:val="20"/>
          <w:szCs w:val="20"/>
        </w:rPr>
        <w:t>ládě ČR ke schválení dne 1. července 2015 a následně odeslána EK dne 3. července 2015</w:t>
      </w:r>
      <w:r w:rsidR="003C282D">
        <w:rPr>
          <w:rFonts w:ascii="Arial" w:hAnsi="Arial" w:cs="Arial"/>
          <w:sz w:val="20"/>
          <w:szCs w:val="20"/>
        </w:rPr>
        <w:t>.</w:t>
      </w:r>
      <w:r w:rsidR="00730457">
        <w:rPr>
          <w:rFonts w:ascii="Arial" w:hAnsi="Arial" w:cs="Arial"/>
          <w:sz w:val="20"/>
          <w:szCs w:val="20"/>
        </w:rPr>
        <w:t xml:space="preserve"> </w:t>
      </w:r>
      <w:r w:rsidR="00B141A1">
        <w:rPr>
          <w:rFonts w:ascii="Arial" w:hAnsi="Arial" w:cs="Arial"/>
          <w:sz w:val="20"/>
          <w:szCs w:val="20"/>
        </w:rPr>
        <w:t xml:space="preserve">Již obdržené reakce Evropské komise na tuto zprávu jsou obsažené </w:t>
      </w:r>
      <w:r w:rsidR="00ED1773">
        <w:rPr>
          <w:rFonts w:ascii="Arial" w:hAnsi="Arial" w:cs="Arial"/>
          <w:sz w:val="20"/>
          <w:szCs w:val="20"/>
        </w:rPr>
        <w:t>v bodu 2</w:t>
      </w:r>
      <w:r w:rsidR="00B141A1">
        <w:rPr>
          <w:rFonts w:ascii="Arial" w:hAnsi="Arial" w:cs="Arial"/>
          <w:sz w:val="20"/>
          <w:szCs w:val="20"/>
        </w:rPr>
        <w:t>.</w:t>
      </w:r>
      <w:r w:rsidR="00D52F65" w:rsidRPr="00D52F65">
        <w:rPr>
          <w:rFonts w:ascii="Arial" w:hAnsi="Arial" w:cs="Arial"/>
          <w:sz w:val="20"/>
          <w:szCs w:val="20"/>
        </w:rPr>
        <w:t xml:space="preserve"> </w:t>
      </w:r>
      <w:r w:rsidR="00BD7542" w:rsidRPr="00BD7542">
        <w:rPr>
          <w:rFonts w:ascii="Arial" w:hAnsi="Arial" w:cs="Arial"/>
          <w:sz w:val="20"/>
          <w:szCs w:val="20"/>
        </w:rPr>
        <w:t>Momentálně se připravuje další Čtvrtletní zpráva, které bude monitorovat období plnění za červen – srpen 2015. Předložení této zprávy vládě ČR a následné zaslání EK k vyjádření se předpokládá na začátku října 2015.</w:t>
      </w:r>
    </w:p>
    <w:p w:rsidR="002C2678" w:rsidRDefault="0083717E" w:rsidP="001414DB">
      <w:pPr>
        <w:spacing w:before="0"/>
        <w:rPr>
          <w:rFonts w:ascii="Arial" w:hAnsi="Arial" w:cs="Arial"/>
          <w:sz w:val="20"/>
          <w:szCs w:val="20"/>
        </w:rPr>
      </w:pPr>
      <w:r w:rsidRPr="003C0BAA">
        <w:rPr>
          <w:rFonts w:ascii="Arial" w:hAnsi="Arial" w:cs="Arial"/>
          <w:sz w:val="20"/>
          <w:szCs w:val="20"/>
        </w:rPr>
        <w:t>Jak v případě deklarovaného splnění ze strany gestora předběžné podmínky, tak v případě posunů v rámci akčních plánů, je z hlediska ČR podstatná zejména zpětná vazba ze strany Evropské komise</w:t>
      </w:r>
      <w:r w:rsidR="006259DE">
        <w:rPr>
          <w:rFonts w:ascii="Arial" w:hAnsi="Arial" w:cs="Arial"/>
          <w:sz w:val="20"/>
          <w:szCs w:val="20"/>
        </w:rPr>
        <w:t>.</w:t>
      </w:r>
      <w:r w:rsidRPr="003C0BAA">
        <w:rPr>
          <w:rFonts w:ascii="Arial" w:hAnsi="Arial" w:cs="Arial"/>
          <w:sz w:val="20"/>
          <w:szCs w:val="20"/>
        </w:rPr>
        <w:t xml:space="preserve"> </w:t>
      </w:r>
      <w:r w:rsidR="00BD3C8E">
        <w:rPr>
          <w:rFonts w:ascii="Arial" w:hAnsi="Arial" w:cs="Arial"/>
          <w:sz w:val="20"/>
          <w:szCs w:val="20"/>
        </w:rPr>
        <w:t xml:space="preserve">Z toho důvodu Evropská komise </w:t>
      </w:r>
      <w:r w:rsidR="00690858">
        <w:rPr>
          <w:rFonts w:ascii="Arial" w:hAnsi="Arial" w:cs="Arial"/>
          <w:sz w:val="20"/>
          <w:szCs w:val="20"/>
        </w:rPr>
        <w:t xml:space="preserve">stanovila </w:t>
      </w:r>
      <w:r w:rsidR="00BD3C8E">
        <w:rPr>
          <w:rFonts w:ascii="Arial" w:hAnsi="Arial" w:cs="Arial"/>
          <w:sz w:val="20"/>
          <w:szCs w:val="20"/>
        </w:rPr>
        <w:t>postup vedoucí k</w:t>
      </w:r>
      <w:r w:rsidR="00690858">
        <w:rPr>
          <w:rFonts w:ascii="Arial" w:hAnsi="Arial" w:cs="Arial"/>
          <w:sz w:val="20"/>
          <w:szCs w:val="20"/>
        </w:rPr>
        <w:t> </w:t>
      </w:r>
      <w:r w:rsidR="00BD3C8E">
        <w:rPr>
          <w:rFonts w:ascii="Arial" w:hAnsi="Arial" w:cs="Arial"/>
          <w:sz w:val="20"/>
          <w:szCs w:val="20"/>
        </w:rPr>
        <w:t>oficiá</w:t>
      </w:r>
      <w:r w:rsidR="00690858">
        <w:rPr>
          <w:rFonts w:ascii="Arial" w:hAnsi="Arial" w:cs="Arial"/>
          <w:sz w:val="20"/>
          <w:szCs w:val="20"/>
        </w:rPr>
        <w:t xml:space="preserve">lní verifikaci splnění PP. Formální </w:t>
      </w:r>
      <w:r w:rsidR="00831B78">
        <w:rPr>
          <w:rFonts w:ascii="Arial" w:hAnsi="Arial" w:cs="Arial"/>
          <w:sz w:val="20"/>
          <w:szCs w:val="20"/>
        </w:rPr>
        <w:t xml:space="preserve">verifikace </w:t>
      </w:r>
      <w:r w:rsidR="002C2678">
        <w:rPr>
          <w:rFonts w:ascii="Arial" w:hAnsi="Arial" w:cs="Arial"/>
          <w:sz w:val="20"/>
          <w:szCs w:val="20"/>
        </w:rPr>
        <w:t>předběžné podmínky</w:t>
      </w:r>
      <w:r w:rsidR="007A2A9E">
        <w:rPr>
          <w:rFonts w:ascii="Arial" w:hAnsi="Arial" w:cs="Arial"/>
          <w:sz w:val="20"/>
          <w:szCs w:val="20"/>
        </w:rPr>
        <w:t xml:space="preserve"> </w:t>
      </w:r>
      <w:r w:rsidR="006A6D01">
        <w:rPr>
          <w:rFonts w:ascii="Arial" w:hAnsi="Arial" w:cs="Arial"/>
          <w:sz w:val="20"/>
          <w:szCs w:val="20"/>
        </w:rPr>
        <w:t xml:space="preserve">proběhne </w:t>
      </w:r>
      <w:r w:rsidR="00831B78">
        <w:rPr>
          <w:rFonts w:ascii="Arial" w:hAnsi="Arial" w:cs="Arial"/>
          <w:sz w:val="20"/>
          <w:szCs w:val="20"/>
        </w:rPr>
        <w:t xml:space="preserve">až </w:t>
      </w:r>
      <w:r w:rsidR="006A6D01">
        <w:rPr>
          <w:rFonts w:ascii="Arial" w:hAnsi="Arial" w:cs="Arial"/>
          <w:sz w:val="20"/>
          <w:szCs w:val="20"/>
        </w:rPr>
        <w:t xml:space="preserve">na základě předložení prostřednictvím </w:t>
      </w:r>
      <w:r w:rsidR="00831B78">
        <w:rPr>
          <w:rFonts w:ascii="Arial" w:hAnsi="Arial" w:cs="Arial"/>
          <w:sz w:val="20"/>
          <w:szCs w:val="20"/>
        </w:rPr>
        <w:t>SFC,</w:t>
      </w:r>
      <w:r w:rsidR="00690858">
        <w:rPr>
          <w:rFonts w:ascii="Arial" w:hAnsi="Arial" w:cs="Arial"/>
          <w:sz w:val="20"/>
          <w:szCs w:val="20"/>
        </w:rPr>
        <w:t xml:space="preserve"> nicméně je</w:t>
      </w:r>
      <w:r w:rsidR="002C2678">
        <w:rPr>
          <w:rFonts w:ascii="Arial" w:hAnsi="Arial" w:cs="Arial"/>
          <w:sz w:val="20"/>
          <w:szCs w:val="20"/>
        </w:rPr>
        <w:t>ště</w:t>
      </w:r>
      <w:r w:rsidR="00690858">
        <w:rPr>
          <w:rFonts w:ascii="Arial" w:hAnsi="Arial" w:cs="Arial"/>
          <w:sz w:val="20"/>
          <w:szCs w:val="20"/>
        </w:rPr>
        <w:t xml:space="preserve"> před nahráním </w:t>
      </w:r>
      <w:r w:rsidR="002C2678">
        <w:rPr>
          <w:rFonts w:ascii="Arial" w:hAnsi="Arial" w:cs="Arial"/>
          <w:sz w:val="20"/>
          <w:szCs w:val="20"/>
        </w:rPr>
        <w:t xml:space="preserve">veškerých relevantních </w:t>
      </w:r>
      <w:r w:rsidR="00690858">
        <w:rPr>
          <w:rFonts w:ascii="Arial" w:hAnsi="Arial" w:cs="Arial"/>
          <w:sz w:val="20"/>
          <w:szCs w:val="20"/>
        </w:rPr>
        <w:t>dokument</w:t>
      </w:r>
      <w:r w:rsidR="002C2678">
        <w:rPr>
          <w:rFonts w:ascii="Arial" w:hAnsi="Arial" w:cs="Arial"/>
          <w:sz w:val="20"/>
          <w:szCs w:val="20"/>
        </w:rPr>
        <w:t>ů</w:t>
      </w:r>
      <w:r w:rsidR="00690858">
        <w:rPr>
          <w:rFonts w:ascii="Arial" w:hAnsi="Arial" w:cs="Arial"/>
          <w:sz w:val="20"/>
          <w:szCs w:val="20"/>
        </w:rPr>
        <w:t xml:space="preserve"> do SFC </w:t>
      </w:r>
      <w:r w:rsidR="006259DE">
        <w:rPr>
          <w:rFonts w:ascii="Arial" w:hAnsi="Arial" w:cs="Arial"/>
          <w:sz w:val="20"/>
          <w:szCs w:val="20"/>
        </w:rPr>
        <w:t xml:space="preserve">je </w:t>
      </w:r>
      <w:r w:rsidR="00690858">
        <w:rPr>
          <w:rFonts w:ascii="Arial" w:hAnsi="Arial" w:cs="Arial"/>
          <w:sz w:val="20"/>
          <w:szCs w:val="20"/>
        </w:rPr>
        <w:t xml:space="preserve">nutné, aby </w:t>
      </w:r>
      <w:r w:rsidR="002C2678">
        <w:rPr>
          <w:rFonts w:ascii="Arial" w:hAnsi="Arial" w:cs="Arial"/>
          <w:sz w:val="20"/>
          <w:szCs w:val="20"/>
        </w:rPr>
        <w:t>došlo k</w:t>
      </w:r>
      <w:r w:rsidR="007A2A9E">
        <w:rPr>
          <w:rFonts w:ascii="Arial" w:hAnsi="Arial" w:cs="Arial"/>
          <w:sz w:val="20"/>
          <w:szCs w:val="20"/>
        </w:rPr>
        <w:t> </w:t>
      </w:r>
      <w:r w:rsidR="002C2678">
        <w:rPr>
          <w:rFonts w:ascii="Arial" w:hAnsi="Arial" w:cs="Arial"/>
          <w:sz w:val="20"/>
          <w:szCs w:val="20"/>
        </w:rPr>
        <w:t>neformální</w:t>
      </w:r>
      <w:r w:rsidR="007A2A9E">
        <w:rPr>
          <w:rFonts w:ascii="Arial" w:hAnsi="Arial" w:cs="Arial"/>
          <w:sz w:val="20"/>
          <w:szCs w:val="20"/>
        </w:rPr>
        <w:t xml:space="preserve"> </w:t>
      </w:r>
      <w:r w:rsidR="00690858">
        <w:rPr>
          <w:rFonts w:ascii="Arial" w:hAnsi="Arial" w:cs="Arial"/>
          <w:sz w:val="20"/>
          <w:szCs w:val="20"/>
        </w:rPr>
        <w:t>verifik</w:t>
      </w:r>
      <w:r w:rsidR="002C2678">
        <w:rPr>
          <w:rFonts w:ascii="Arial" w:hAnsi="Arial" w:cs="Arial"/>
          <w:sz w:val="20"/>
          <w:szCs w:val="20"/>
        </w:rPr>
        <w:t>aci ze strany</w:t>
      </w:r>
      <w:r w:rsidR="00690858">
        <w:rPr>
          <w:rFonts w:ascii="Arial" w:hAnsi="Arial" w:cs="Arial"/>
          <w:sz w:val="20"/>
          <w:szCs w:val="20"/>
        </w:rPr>
        <w:t xml:space="preserve"> </w:t>
      </w:r>
      <w:r w:rsidR="006A6D01">
        <w:rPr>
          <w:rFonts w:ascii="Arial" w:hAnsi="Arial" w:cs="Arial"/>
          <w:sz w:val="20"/>
          <w:szCs w:val="20"/>
        </w:rPr>
        <w:t> </w:t>
      </w:r>
      <w:r w:rsidR="00690858">
        <w:rPr>
          <w:rFonts w:ascii="Arial" w:hAnsi="Arial" w:cs="Arial"/>
          <w:sz w:val="20"/>
          <w:szCs w:val="20"/>
        </w:rPr>
        <w:t xml:space="preserve">EK, </w:t>
      </w:r>
      <w:r w:rsidR="00690858" w:rsidRPr="00690858">
        <w:rPr>
          <w:rFonts w:ascii="Arial" w:eastAsia="Calibri" w:hAnsi="Arial" w:cs="Arial"/>
          <w:sz w:val="20"/>
          <w:szCs w:val="20"/>
          <w:lang w:eastAsia="en-US"/>
        </w:rPr>
        <w:t>aby se dosáhlo jistoty, že dokument splňuje všechny náležité požadavky.</w:t>
      </w:r>
      <w:r w:rsidR="001F0A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31B78">
        <w:rPr>
          <w:rFonts w:ascii="Arial" w:hAnsi="Arial" w:cs="Arial"/>
          <w:sz w:val="20"/>
          <w:szCs w:val="20"/>
        </w:rPr>
        <w:t xml:space="preserve"> </w:t>
      </w:r>
    </w:p>
    <w:p w:rsidR="0083717E" w:rsidRPr="003C0BAA" w:rsidRDefault="002C2678" w:rsidP="00141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tzv. formální verifikací momentálně prochází</w:t>
      </w:r>
      <w:r w:rsidR="001F0A42">
        <w:rPr>
          <w:rFonts w:ascii="Arial" w:hAnsi="Arial" w:cs="Arial"/>
          <w:sz w:val="20"/>
          <w:szCs w:val="20"/>
        </w:rPr>
        <w:t xml:space="preserve"> pouze </w:t>
      </w:r>
      <w:r w:rsidR="006A6D01">
        <w:rPr>
          <w:rFonts w:ascii="Arial" w:hAnsi="Arial" w:cs="Arial"/>
          <w:sz w:val="20"/>
          <w:szCs w:val="20"/>
        </w:rPr>
        <w:t xml:space="preserve">Akční plán pro inkluzivní vzdělávání, vedoucí ke splnění </w:t>
      </w:r>
      <w:r w:rsidR="00831B78">
        <w:rPr>
          <w:rFonts w:ascii="Arial" w:hAnsi="Arial" w:cs="Arial"/>
          <w:sz w:val="20"/>
          <w:szCs w:val="20"/>
        </w:rPr>
        <w:t>PP 10.1 a 10. 3</w:t>
      </w:r>
      <w:r w:rsidR="006A6D01">
        <w:rPr>
          <w:rFonts w:ascii="Arial" w:hAnsi="Arial" w:cs="Arial"/>
          <w:sz w:val="20"/>
          <w:szCs w:val="20"/>
        </w:rPr>
        <w:t>.</w:t>
      </w:r>
    </w:p>
    <w:p w:rsidR="005E1096" w:rsidRPr="00F94EF5" w:rsidRDefault="005E1096" w:rsidP="00796B10">
      <w:pPr>
        <w:spacing w:before="0"/>
        <w:rPr>
          <w:rFonts w:ascii="Arial" w:hAnsi="Arial" w:cs="Arial"/>
        </w:rPr>
      </w:pPr>
    </w:p>
    <w:p w:rsidR="00C35605" w:rsidRPr="00F94EF5" w:rsidRDefault="00C35605" w:rsidP="00952B56">
      <w:pPr>
        <w:pStyle w:val="Nadpis2"/>
        <w:numPr>
          <w:ilvl w:val="0"/>
          <w:numId w:val="0"/>
        </w:numPr>
        <w:ind w:left="576" w:hanging="576"/>
      </w:pPr>
      <w:r w:rsidRPr="00F94EF5">
        <w:t>2. Reakce EK na </w:t>
      </w:r>
      <w:r w:rsidR="007426F4" w:rsidRPr="00F94EF5">
        <w:t>Čtvrtletní</w:t>
      </w:r>
      <w:r w:rsidRPr="00F94EF5">
        <w:t xml:space="preserve"> monitorovací zprávu</w:t>
      </w:r>
    </w:p>
    <w:p w:rsidR="007060BB" w:rsidRDefault="007060BB" w:rsidP="001414DB">
      <w:pPr>
        <w:tabs>
          <w:tab w:val="left" w:pos="5405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E2C66" w:rsidRPr="003E2C66">
        <w:rPr>
          <w:rFonts w:ascii="Arial" w:hAnsi="Arial" w:cs="Arial"/>
          <w:sz w:val="20"/>
          <w:szCs w:val="20"/>
        </w:rPr>
        <w:t> souvislosti s </w:t>
      </w:r>
      <w:r w:rsidR="007426F4">
        <w:rPr>
          <w:rFonts w:ascii="Arial" w:hAnsi="Arial" w:cs="Arial"/>
          <w:sz w:val="20"/>
          <w:szCs w:val="20"/>
        </w:rPr>
        <w:t>předloženou Čtvrtletní</w:t>
      </w:r>
      <w:r w:rsidR="003E2C66" w:rsidRPr="003E2C66">
        <w:rPr>
          <w:rFonts w:ascii="Arial" w:hAnsi="Arial" w:cs="Arial"/>
          <w:sz w:val="20"/>
          <w:szCs w:val="20"/>
        </w:rPr>
        <w:t xml:space="preserve"> zprávou EK poskytla zpětnou vazbu k uvedeným informacím, reagovala zejména na následují</w:t>
      </w:r>
      <w:r w:rsidR="003E2C66">
        <w:rPr>
          <w:rFonts w:ascii="Arial" w:hAnsi="Arial" w:cs="Arial"/>
          <w:sz w:val="20"/>
          <w:szCs w:val="20"/>
        </w:rPr>
        <w:t>cí</w:t>
      </w:r>
      <w:r w:rsidR="003E2C66" w:rsidRPr="003E2C66">
        <w:rPr>
          <w:rFonts w:ascii="Arial" w:hAnsi="Arial" w:cs="Arial"/>
          <w:sz w:val="20"/>
          <w:szCs w:val="20"/>
        </w:rPr>
        <w:t xml:space="preserve"> předběžné podmínky</w:t>
      </w:r>
      <w:r w:rsidR="002228A0">
        <w:rPr>
          <w:rFonts w:ascii="Arial" w:hAnsi="Arial" w:cs="Arial"/>
          <w:sz w:val="20"/>
          <w:szCs w:val="20"/>
        </w:rPr>
        <w:t>:</w:t>
      </w:r>
    </w:p>
    <w:p w:rsidR="003E2C66" w:rsidRPr="00952B56" w:rsidRDefault="003E2C66" w:rsidP="001414DB">
      <w:pPr>
        <w:tabs>
          <w:tab w:val="left" w:pos="5405"/>
        </w:tabs>
        <w:spacing w:before="0"/>
        <w:rPr>
          <w:rFonts w:ascii="Arial" w:hAnsi="Arial" w:cs="Arial"/>
          <w:sz w:val="20"/>
          <w:szCs w:val="20"/>
          <w:u w:val="single"/>
        </w:rPr>
      </w:pPr>
    </w:p>
    <w:p w:rsidR="00F94EF5" w:rsidRPr="00952B56" w:rsidRDefault="00F94EF5" w:rsidP="001414DB">
      <w:pPr>
        <w:spacing w:before="0" w:after="240"/>
        <w:jc w:val="left"/>
        <w:rPr>
          <w:rFonts w:ascii="Arial" w:hAnsi="Arial" w:cs="Arial"/>
          <w:sz w:val="20"/>
          <w:szCs w:val="20"/>
          <w:u w:val="single"/>
        </w:rPr>
      </w:pPr>
      <w:r w:rsidRPr="00952B56">
        <w:rPr>
          <w:rFonts w:ascii="Arial" w:hAnsi="Arial" w:cs="Arial"/>
          <w:b/>
          <w:sz w:val="20"/>
          <w:szCs w:val="20"/>
          <w:u w:val="single"/>
        </w:rPr>
        <w:t>O</w:t>
      </w:r>
      <w:r w:rsidR="008D1F31" w:rsidRPr="00952B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2C66" w:rsidRPr="00952B56">
        <w:rPr>
          <w:rFonts w:ascii="Arial" w:hAnsi="Arial" w:cs="Arial"/>
          <w:b/>
          <w:sz w:val="20"/>
          <w:szCs w:val="20"/>
          <w:u w:val="single"/>
        </w:rPr>
        <w:t>7</w:t>
      </w:r>
      <w:r w:rsidRPr="00952B56">
        <w:rPr>
          <w:rFonts w:ascii="Arial" w:hAnsi="Arial" w:cs="Arial"/>
          <w:b/>
          <w:sz w:val="20"/>
          <w:szCs w:val="20"/>
          <w:u w:val="single"/>
        </w:rPr>
        <w:t xml:space="preserve"> Statistické systémy a ukazatele výsledků</w:t>
      </w:r>
      <w:r w:rsidR="003E2C66" w:rsidRPr="00952B56">
        <w:rPr>
          <w:rFonts w:ascii="Arial" w:hAnsi="Arial" w:cs="Arial"/>
          <w:b/>
          <w:sz w:val="20"/>
          <w:szCs w:val="20"/>
          <w:u w:val="single"/>
        </w:rPr>
        <w:t xml:space="preserve"> a </w:t>
      </w:r>
      <w:r w:rsidRPr="00952B56">
        <w:rPr>
          <w:rFonts w:ascii="Arial" w:hAnsi="Arial" w:cs="Arial"/>
          <w:b/>
          <w:sz w:val="20"/>
          <w:szCs w:val="20"/>
          <w:u w:val="single"/>
        </w:rPr>
        <w:t>T</w:t>
      </w:r>
      <w:r w:rsidR="003E2C66" w:rsidRPr="00952B56">
        <w:rPr>
          <w:rFonts w:ascii="Arial" w:hAnsi="Arial" w:cs="Arial"/>
          <w:b/>
          <w:sz w:val="20"/>
          <w:szCs w:val="20"/>
          <w:u w:val="single"/>
        </w:rPr>
        <w:t xml:space="preserve"> 11</w:t>
      </w:r>
      <w:r w:rsidRPr="00952B56">
        <w:rPr>
          <w:rFonts w:ascii="Arial" w:hAnsi="Arial" w:cs="Arial"/>
          <w:b/>
          <w:sz w:val="20"/>
          <w:szCs w:val="20"/>
          <w:u w:val="single"/>
        </w:rPr>
        <w:t xml:space="preserve"> Veřejná správa</w:t>
      </w:r>
    </w:p>
    <w:p w:rsidR="00952B56" w:rsidRPr="00803A71" w:rsidRDefault="00952B56" w:rsidP="001414DB">
      <w:pPr>
        <w:spacing w:before="0" w:after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 </w:t>
      </w:r>
      <w:r w:rsidR="003E2C66" w:rsidRPr="005C62F3">
        <w:rPr>
          <w:rFonts w:ascii="Arial" w:hAnsi="Arial" w:cs="Arial"/>
          <w:sz w:val="20"/>
          <w:szCs w:val="20"/>
        </w:rPr>
        <w:t>nemá problém</w:t>
      </w:r>
      <w:r w:rsidR="003E2C66">
        <w:rPr>
          <w:rFonts w:ascii="Arial" w:hAnsi="Arial" w:cs="Arial"/>
          <w:sz w:val="20"/>
          <w:szCs w:val="20"/>
        </w:rPr>
        <w:t xml:space="preserve"> s </w:t>
      </w:r>
      <w:r w:rsidR="003E2C66" w:rsidRPr="00803A71">
        <w:rPr>
          <w:rFonts w:ascii="Arial" w:hAnsi="Arial" w:cs="Arial"/>
          <w:sz w:val="20"/>
          <w:szCs w:val="20"/>
        </w:rPr>
        <w:t>dílčím posunem termínu v rámci jednotlivých opatření ke splnění těchto PP.</w:t>
      </w:r>
    </w:p>
    <w:p w:rsidR="00952B56" w:rsidRDefault="00F94EF5" w:rsidP="001414DB">
      <w:pPr>
        <w:spacing w:before="0" w:after="240"/>
        <w:jc w:val="left"/>
        <w:rPr>
          <w:rFonts w:ascii="Arial" w:eastAsia="Times New Roman" w:hAnsi="Arial" w:cs="Arial"/>
          <w:b/>
          <w:sz w:val="20"/>
          <w:szCs w:val="20"/>
          <w:lang/>
        </w:rPr>
      </w:pPr>
      <w:r w:rsidRPr="00952B56">
        <w:rPr>
          <w:rFonts w:ascii="Arial" w:eastAsia="Times New Roman" w:hAnsi="Arial" w:cs="Arial"/>
          <w:b/>
          <w:sz w:val="20"/>
          <w:szCs w:val="20"/>
          <w:u w:val="single"/>
          <w:lang/>
        </w:rPr>
        <w:t xml:space="preserve">T </w:t>
      </w:r>
      <w:r w:rsidR="001F0A42" w:rsidRPr="00952B56">
        <w:rPr>
          <w:rFonts w:ascii="Arial" w:eastAsia="Times New Roman" w:hAnsi="Arial" w:cs="Arial"/>
          <w:b/>
          <w:sz w:val="20"/>
          <w:szCs w:val="20"/>
          <w:u w:val="single"/>
          <w:lang/>
        </w:rPr>
        <w:t>1.1</w:t>
      </w:r>
      <w:r w:rsidRPr="00952B56">
        <w:rPr>
          <w:rFonts w:ascii="Arial" w:eastAsia="Times New Roman" w:hAnsi="Arial" w:cs="Arial"/>
          <w:b/>
          <w:sz w:val="20"/>
          <w:szCs w:val="20"/>
          <w:u w:val="single"/>
          <w:lang/>
        </w:rPr>
        <w:t xml:space="preserve"> Výzkum a vývoj – inteligentní specializace</w:t>
      </w:r>
    </w:p>
    <w:p w:rsidR="00952B56" w:rsidRDefault="001F0A42" w:rsidP="001414DB">
      <w:pPr>
        <w:spacing w:before="0" w:after="240"/>
        <w:jc w:val="left"/>
        <w:rPr>
          <w:rFonts w:ascii="Arial" w:eastAsia="Times New Roman" w:hAnsi="Arial" w:cs="Arial"/>
          <w:b/>
          <w:sz w:val="20"/>
          <w:szCs w:val="20"/>
          <w:lang/>
        </w:rPr>
      </w:pPr>
      <w:r w:rsidRPr="00AD2902">
        <w:rPr>
          <w:rFonts w:ascii="Arial" w:eastAsia="Times New Roman" w:hAnsi="Arial" w:cs="Arial"/>
          <w:sz w:val="20"/>
          <w:szCs w:val="20"/>
          <w:lang/>
        </w:rPr>
        <w:t xml:space="preserve">EK si vyžádala </w:t>
      </w:r>
      <w:r w:rsidR="00E34D23">
        <w:rPr>
          <w:rFonts w:ascii="Arial" w:eastAsia="Times New Roman" w:hAnsi="Arial" w:cs="Arial"/>
          <w:sz w:val="20"/>
          <w:szCs w:val="20"/>
          <w:lang/>
        </w:rPr>
        <w:t xml:space="preserve">aktuální verzi strategie </w:t>
      </w:r>
      <w:r w:rsidR="00E34D23" w:rsidRPr="00DC21DD">
        <w:rPr>
          <w:rFonts w:ascii="Arial" w:eastAsia="Times New Roman" w:hAnsi="Arial" w:cs="Arial"/>
          <w:sz w:val="20"/>
          <w:szCs w:val="20"/>
          <w:lang/>
        </w:rPr>
        <w:t>RIS3</w:t>
      </w:r>
      <w:r w:rsidR="00E34D23">
        <w:rPr>
          <w:rFonts w:ascii="Arial" w:eastAsia="Times New Roman" w:hAnsi="Arial" w:cs="Arial"/>
          <w:sz w:val="20"/>
          <w:szCs w:val="20"/>
          <w:lang/>
        </w:rPr>
        <w:t>.</w:t>
      </w:r>
      <w:r w:rsidR="00B141A1">
        <w:rPr>
          <w:rFonts w:ascii="Arial" w:eastAsia="Times New Roman" w:hAnsi="Arial" w:cs="Arial"/>
          <w:sz w:val="20"/>
          <w:szCs w:val="20"/>
          <w:lang/>
        </w:rPr>
        <w:t xml:space="preserve"> V této souvislosti probíhá aktuálně komunikace s</w:t>
      </w:r>
      <w:r w:rsidR="006259DE">
        <w:rPr>
          <w:rFonts w:ascii="Arial" w:eastAsia="Times New Roman" w:hAnsi="Arial" w:cs="Arial"/>
          <w:sz w:val="20"/>
          <w:szCs w:val="20"/>
          <w:lang/>
        </w:rPr>
        <w:t> </w:t>
      </w:r>
      <w:r w:rsidR="00B141A1">
        <w:rPr>
          <w:rFonts w:ascii="Arial" w:eastAsia="Times New Roman" w:hAnsi="Arial" w:cs="Arial"/>
          <w:sz w:val="20"/>
          <w:szCs w:val="20"/>
          <w:lang/>
        </w:rPr>
        <w:t>EK.</w:t>
      </w:r>
    </w:p>
    <w:p w:rsidR="00952B56" w:rsidRPr="00952B56" w:rsidRDefault="00F94EF5" w:rsidP="001414DB">
      <w:pPr>
        <w:spacing w:after="240"/>
        <w:jc w:val="left"/>
        <w:rPr>
          <w:rFonts w:ascii="Arial" w:eastAsia="Times New Roman" w:hAnsi="Arial" w:cs="Arial"/>
          <w:b/>
          <w:sz w:val="20"/>
          <w:szCs w:val="20"/>
          <w:lang/>
        </w:rPr>
      </w:pPr>
      <w:r w:rsidRPr="00952B56">
        <w:rPr>
          <w:rFonts w:ascii="Arial" w:eastAsia="Times New Roman" w:hAnsi="Arial" w:cs="Arial"/>
          <w:b/>
          <w:sz w:val="20"/>
          <w:szCs w:val="20"/>
          <w:u w:val="single"/>
          <w:lang/>
        </w:rPr>
        <w:t xml:space="preserve">T </w:t>
      </w:r>
      <w:r w:rsidR="00BC24A0" w:rsidRPr="00952B56">
        <w:rPr>
          <w:rFonts w:ascii="Arial" w:eastAsia="Times New Roman" w:hAnsi="Arial" w:cs="Arial"/>
          <w:b/>
          <w:sz w:val="20"/>
          <w:szCs w:val="20"/>
          <w:u w:val="single"/>
          <w:lang/>
        </w:rPr>
        <w:t>4.1</w:t>
      </w:r>
      <w:r w:rsidRPr="00952B56">
        <w:rPr>
          <w:rFonts w:ascii="Arial" w:eastAsia="Times New Roman" w:hAnsi="Arial" w:cs="Arial"/>
          <w:b/>
          <w:sz w:val="20"/>
          <w:szCs w:val="20"/>
          <w:u w:val="single"/>
          <w:lang/>
        </w:rPr>
        <w:t xml:space="preserve"> Energetická účinnost</w:t>
      </w:r>
      <w:r w:rsidR="00BC24A0" w:rsidRPr="00952B56">
        <w:rPr>
          <w:rFonts w:ascii="Arial" w:eastAsia="Times New Roman" w:hAnsi="Arial" w:cs="Arial"/>
          <w:sz w:val="20"/>
          <w:szCs w:val="20"/>
          <w:u w:val="single"/>
          <w:lang/>
        </w:rPr>
        <w:t xml:space="preserve"> </w:t>
      </w:r>
    </w:p>
    <w:p w:rsidR="00592310" w:rsidRPr="001414DB" w:rsidRDefault="00BC24A0" w:rsidP="001414DB">
      <w:pPr>
        <w:spacing w:after="240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DC21DD">
        <w:rPr>
          <w:rFonts w:ascii="Arial" w:eastAsia="Calibri" w:hAnsi="Arial" w:cs="Arial"/>
          <w:sz w:val="20"/>
          <w:szCs w:val="20"/>
        </w:rPr>
        <w:t>EK vyjádřila nesouhlas s deklarovaným částečným plněním</w:t>
      </w:r>
      <w:r w:rsidRPr="00A47555">
        <w:rPr>
          <w:rFonts w:ascii="Arial" w:eastAsia="Calibri" w:hAnsi="Arial" w:cs="Arial"/>
          <w:sz w:val="20"/>
          <w:szCs w:val="20"/>
        </w:rPr>
        <w:t xml:space="preserve"> PP </w:t>
      </w:r>
      <w:r w:rsidRPr="00E34D23">
        <w:rPr>
          <w:rFonts w:ascii="Arial" w:eastAsia="Calibri" w:hAnsi="Arial" w:cs="Arial"/>
          <w:sz w:val="20"/>
          <w:szCs w:val="20"/>
        </w:rPr>
        <w:t xml:space="preserve">z důvodu stále probíhajících </w:t>
      </w:r>
      <w:proofErr w:type="spellStart"/>
      <w:r w:rsidRPr="00E34D23">
        <w:rPr>
          <w:rFonts w:ascii="Arial" w:eastAsia="Calibri" w:hAnsi="Arial" w:cs="Arial"/>
          <w:sz w:val="20"/>
          <w:szCs w:val="20"/>
        </w:rPr>
        <w:t>infringmentových</w:t>
      </w:r>
      <w:proofErr w:type="spellEnd"/>
      <w:r w:rsidRPr="00E34D23">
        <w:rPr>
          <w:rFonts w:ascii="Arial" w:eastAsia="Calibri" w:hAnsi="Arial" w:cs="Arial"/>
          <w:sz w:val="20"/>
          <w:szCs w:val="20"/>
        </w:rPr>
        <w:t xml:space="preserve"> řízení o porušení práva EU ve věci implementace směrnic 2012/27/EU a 2010/31/EU a </w:t>
      </w:r>
      <w:r w:rsidR="00E4464E" w:rsidRPr="00E34D23">
        <w:rPr>
          <w:rFonts w:ascii="Arial" w:eastAsia="Calibri" w:hAnsi="Arial" w:cs="Arial"/>
          <w:sz w:val="20"/>
          <w:szCs w:val="20"/>
        </w:rPr>
        <w:t xml:space="preserve">dále z důvodu </w:t>
      </w:r>
      <w:r w:rsidR="00BE3D6F" w:rsidRPr="00E34D23">
        <w:rPr>
          <w:rFonts w:ascii="Arial" w:eastAsia="Calibri" w:hAnsi="Arial" w:cs="Arial"/>
          <w:sz w:val="20"/>
          <w:szCs w:val="20"/>
        </w:rPr>
        <w:t>ne</w:t>
      </w:r>
      <w:r w:rsidR="006259DE">
        <w:rPr>
          <w:rFonts w:ascii="Arial" w:eastAsia="Calibri" w:hAnsi="Arial" w:cs="Arial"/>
          <w:sz w:val="20"/>
          <w:szCs w:val="20"/>
        </w:rPr>
        <w:t>do</w:t>
      </w:r>
      <w:r w:rsidRPr="00E34D23">
        <w:rPr>
          <w:rFonts w:ascii="Arial" w:eastAsia="Calibri" w:hAnsi="Arial" w:cs="Arial"/>
          <w:sz w:val="20"/>
          <w:szCs w:val="20"/>
        </w:rPr>
        <w:t xml:space="preserve">končené </w:t>
      </w:r>
      <w:r w:rsidR="00D448AC">
        <w:rPr>
          <w:rFonts w:ascii="Arial" w:eastAsia="Calibri" w:hAnsi="Arial" w:cs="Arial"/>
          <w:sz w:val="20"/>
          <w:szCs w:val="20"/>
        </w:rPr>
        <w:t>notifikace</w:t>
      </w:r>
      <w:r w:rsidR="006259DE">
        <w:rPr>
          <w:rFonts w:ascii="Arial" w:eastAsia="Calibri" w:hAnsi="Arial" w:cs="Arial"/>
          <w:sz w:val="20"/>
          <w:szCs w:val="20"/>
        </w:rPr>
        <w:t xml:space="preserve"> releva</w:t>
      </w:r>
      <w:r w:rsidR="00B41C18">
        <w:rPr>
          <w:rFonts w:ascii="Arial" w:eastAsia="Calibri" w:hAnsi="Arial" w:cs="Arial"/>
          <w:sz w:val="20"/>
          <w:szCs w:val="20"/>
        </w:rPr>
        <w:t>n</w:t>
      </w:r>
      <w:r w:rsidR="006259DE">
        <w:rPr>
          <w:rFonts w:ascii="Arial" w:eastAsia="Calibri" w:hAnsi="Arial" w:cs="Arial"/>
          <w:sz w:val="20"/>
          <w:szCs w:val="20"/>
        </w:rPr>
        <w:t>tní legislativy</w:t>
      </w:r>
      <w:r w:rsidRPr="00E34D23">
        <w:rPr>
          <w:rFonts w:ascii="Arial" w:eastAsia="Calibri" w:hAnsi="Arial" w:cs="Arial"/>
          <w:sz w:val="20"/>
          <w:szCs w:val="20"/>
        </w:rPr>
        <w:t xml:space="preserve">. Na základě výše uvedeného EK </w:t>
      </w:r>
      <w:r w:rsidR="00E4464E" w:rsidRPr="00E34D23">
        <w:rPr>
          <w:rFonts w:ascii="Arial" w:eastAsia="Calibri" w:hAnsi="Arial" w:cs="Arial"/>
          <w:sz w:val="20"/>
          <w:szCs w:val="20"/>
        </w:rPr>
        <w:t>považuje</w:t>
      </w:r>
      <w:r w:rsidRPr="00E34D23">
        <w:rPr>
          <w:rFonts w:ascii="Arial" w:eastAsia="Calibri" w:hAnsi="Arial" w:cs="Arial"/>
          <w:sz w:val="20"/>
          <w:szCs w:val="20"/>
        </w:rPr>
        <w:t xml:space="preserve"> </w:t>
      </w:r>
      <w:r w:rsidR="00E4464E" w:rsidRPr="00E34D23">
        <w:rPr>
          <w:rFonts w:ascii="Arial" w:eastAsia="Calibri" w:hAnsi="Arial" w:cs="Arial"/>
          <w:sz w:val="20"/>
          <w:szCs w:val="20"/>
        </w:rPr>
        <w:t xml:space="preserve">tuto PP </w:t>
      </w:r>
      <w:r w:rsidRPr="00E34D23">
        <w:rPr>
          <w:rFonts w:ascii="Arial" w:eastAsia="Calibri" w:hAnsi="Arial" w:cs="Arial"/>
          <w:sz w:val="20"/>
          <w:szCs w:val="20"/>
        </w:rPr>
        <w:t xml:space="preserve">stále za nesplněnou. EK dále vyzvala </w:t>
      </w:r>
      <w:r w:rsidR="00E4464E" w:rsidRPr="00E34D23">
        <w:rPr>
          <w:rFonts w:ascii="Arial" w:eastAsia="Calibri" w:hAnsi="Arial" w:cs="Arial"/>
          <w:sz w:val="20"/>
          <w:szCs w:val="20"/>
        </w:rPr>
        <w:t>gestora PP k</w:t>
      </w:r>
      <w:r w:rsidRPr="00E34D23">
        <w:rPr>
          <w:rFonts w:ascii="Arial" w:eastAsia="Calibri" w:hAnsi="Arial" w:cs="Arial"/>
          <w:sz w:val="20"/>
          <w:szCs w:val="20"/>
        </w:rPr>
        <w:t xml:space="preserve"> zaslání vyjádření ohledně provedených změn </w:t>
      </w:r>
      <w:r w:rsidRPr="00E34D23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národního indikativního cíle v oblasti energetické účinnosti, který byl EK předložen v lednové verzi </w:t>
      </w:r>
      <w:r w:rsidRPr="00AD2902">
        <w:rPr>
          <w:rFonts w:ascii="Arial" w:hAnsi="Arial" w:cs="Arial"/>
          <w:sz w:val="20"/>
          <w:szCs w:val="20"/>
        </w:rPr>
        <w:t>Národního akčního plánu pro energetickou účinnost</w:t>
      </w:r>
      <w:r w:rsidR="00907327">
        <w:rPr>
          <w:rFonts w:ascii="Arial" w:hAnsi="Arial" w:cs="Arial"/>
          <w:sz w:val="20"/>
          <w:szCs w:val="20"/>
        </w:rPr>
        <w:t xml:space="preserve"> (NAPEE)</w:t>
      </w:r>
      <w:r w:rsidRPr="00DC21DD">
        <w:rPr>
          <w:rFonts w:ascii="Arial" w:hAnsi="Arial" w:cs="Arial"/>
          <w:i/>
          <w:sz w:val="20"/>
          <w:szCs w:val="20"/>
        </w:rPr>
        <w:t xml:space="preserve"> </w:t>
      </w:r>
      <w:r w:rsidRPr="00A47555">
        <w:rPr>
          <w:rFonts w:ascii="Arial" w:hAnsi="Arial" w:cs="Arial"/>
          <w:sz w:val="20"/>
          <w:szCs w:val="20"/>
        </w:rPr>
        <w:t xml:space="preserve">z roku 2015. </w:t>
      </w:r>
      <w:r w:rsidRPr="00BC24A0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Vysvětlení týkající se </w:t>
      </w:r>
      <w:r w:rsidR="00907327">
        <w:rPr>
          <w:rFonts w:ascii="Arial" w:eastAsia="Calibri" w:hAnsi="Arial" w:cs="Arial"/>
          <w:sz w:val="20"/>
          <w:szCs w:val="20"/>
          <w:lang w:eastAsia="en-US"/>
        </w:rPr>
        <w:t>důvodů rozdílného stanovení</w:t>
      </w:r>
      <w:r w:rsidR="00907327" w:rsidRPr="00907327">
        <w:rPr>
          <w:rFonts w:ascii="Arial" w:eastAsia="Calibri" w:hAnsi="Arial" w:cs="Arial"/>
          <w:sz w:val="20"/>
          <w:szCs w:val="20"/>
          <w:lang w:eastAsia="en-US"/>
        </w:rPr>
        <w:t xml:space="preserve"> indikativního cíle energetické účinnosti (využití metodiky IEA, nedostu</w:t>
      </w:r>
      <w:r w:rsidR="00907327">
        <w:rPr>
          <w:rFonts w:ascii="Arial" w:eastAsia="Calibri" w:hAnsi="Arial" w:cs="Arial"/>
          <w:sz w:val="20"/>
          <w:szCs w:val="20"/>
          <w:lang w:eastAsia="en-US"/>
        </w:rPr>
        <w:t xml:space="preserve">pnost potřebných dat </w:t>
      </w:r>
      <w:proofErr w:type="spellStart"/>
      <w:r w:rsidR="00907327">
        <w:rPr>
          <w:rFonts w:ascii="Arial" w:eastAsia="Calibri" w:hAnsi="Arial" w:cs="Arial"/>
          <w:sz w:val="20"/>
          <w:szCs w:val="20"/>
          <w:lang w:eastAsia="en-US"/>
        </w:rPr>
        <w:t>Eurostat</w:t>
      </w:r>
      <w:proofErr w:type="spellEnd"/>
      <w:r w:rsidR="00907327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55109B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zaslalo </w:t>
      </w:r>
      <w:r w:rsidRPr="00BC24A0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MPO na EK </w:t>
      </w:r>
      <w:r w:rsidR="0055109B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dne </w:t>
      </w:r>
      <w:r w:rsidR="00ED1773">
        <w:rPr>
          <w:rFonts w:ascii="Arial" w:eastAsia="Calibri" w:hAnsi="Arial" w:cs="Arial"/>
          <w:color w:val="222222"/>
          <w:sz w:val="20"/>
          <w:szCs w:val="20"/>
          <w:lang w:eastAsia="en-US"/>
        </w:rPr>
        <w:t>20. července</w:t>
      </w:r>
      <w:r w:rsidRPr="00BC24A0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2015.</w:t>
      </w:r>
      <w:r w:rsidR="00907327" w:rsidRPr="0090732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414DB">
        <w:rPr>
          <w:rFonts w:ascii="Arial" w:eastAsia="Calibri" w:hAnsi="Arial" w:cs="Arial"/>
          <w:sz w:val="20"/>
          <w:szCs w:val="20"/>
          <w:lang w:eastAsia="en-US"/>
        </w:rPr>
        <w:br/>
      </w:r>
      <w:r w:rsidR="00907327" w:rsidRPr="00907327">
        <w:rPr>
          <w:rFonts w:ascii="Arial" w:eastAsia="Calibri" w:hAnsi="Arial" w:cs="Arial"/>
          <w:sz w:val="20"/>
          <w:szCs w:val="20"/>
          <w:lang w:eastAsia="en-US"/>
        </w:rPr>
        <w:t>EK byla také informována o úkolu předložit vládě ČR aktualizované znění NAPEE do konce roku 2015</w:t>
      </w:r>
      <w:r w:rsidR="0090732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552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006A3">
        <w:rPr>
          <w:rFonts w:ascii="Arial" w:eastAsia="Calibri" w:hAnsi="Arial" w:cs="Arial"/>
          <w:sz w:val="20"/>
          <w:szCs w:val="20"/>
          <w:lang w:eastAsia="en-US"/>
        </w:rPr>
        <w:t>Podrobnější informace k této předběžné podmínce jsou uvedeny níže v</w:t>
      </w:r>
      <w:r w:rsidR="00952B56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006A3" w:rsidRPr="00952B56">
        <w:rPr>
          <w:rFonts w:ascii="Arial" w:eastAsia="Calibri" w:hAnsi="Arial" w:cs="Arial"/>
          <w:sz w:val="20"/>
          <w:szCs w:val="20"/>
          <w:lang w:eastAsia="en-US"/>
        </w:rPr>
        <w:t>kapitole</w:t>
      </w:r>
      <w:r w:rsidR="00952B56" w:rsidRPr="00952B56">
        <w:rPr>
          <w:rFonts w:ascii="Arial" w:eastAsia="Calibri" w:hAnsi="Arial" w:cs="Arial"/>
          <w:sz w:val="20"/>
          <w:szCs w:val="20"/>
          <w:lang w:eastAsia="en-US"/>
        </w:rPr>
        <w:t xml:space="preserve"> 3.2.</w:t>
      </w:r>
    </w:p>
    <w:p w:rsidR="00952B56" w:rsidRPr="00952B56" w:rsidRDefault="00F94EF5" w:rsidP="001414DB">
      <w:pPr>
        <w:spacing w:after="240"/>
        <w:rPr>
          <w:rFonts w:ascii="Arial" w:eastAsia="Calibri" w:hAnsi="Arial" w:cs="Arial"/>
          <w:color w:val="222222"/>
          <w:sz w:val="20"/>
          <w:szCs w:val="20"/>
          <w:lang w:eastAsia="en-US"/>
        </w:rPr>
      </w:pPr>
      <w:r w:rsidRPr="00952B56">
        <w:rPr>
          <w:rFonts w:ascii="Arial" w:eastAsia="Calibri" w:hAnsi="Arial" w:cs="Arial"/>
          <w:b/>
          <w:color w:val="222222"/>
          <w:sz w:val="20"/>
          <w:szCs w:val="20"/>
          <w:u w:val="single"/>
          <w:lang w:eastAsia="en-US"/>
        </w:rPr>
        <w:lastRenderedPageBreak/>
        <w:t>T</w:t>
      </w:r>
      <w:r w:rsidR="0055109B" w:rsidRPr="00952B56">
        <w:rPr>
          <w:rFonts w:ascii="Arial" w:eastAsia="Calibri" w:hAnsi="Arial" w:cs="Arial"/>
          <w:b/>
          <w:color w:val="222222"/>
          <w:sz w:val="20"/>
          <w:szCs w:val="20"/>
          <w:u w:val="single"/>
          <w:lang w:eastAsia="en-US"/>
        </w:rPr>
        <w:t xml:space="preserve"> 6.1</w:t>
      </w:r>
      <w:r w:rsidRPr="00952B56">
        <w:rPr>
          <w:rFonts w:ascii="Arial" w:eastAsia="Calibri" w:hAnsi="Arial" w:cs="Arial"/>
          <w:b/>
          <w:color w:val="222222"/>
          <w:sz w:val="20"/>
          <w:szCs w:val="20"/>
          <w:u w:val="single"/>
          <w:lang w:eastAsia="en-US"/>
        </w:rPr>
        <w:t xml:space="preserve"> Vodní hospodářství</w:t>
      </w:r>
    </w:p>
    <w:p w:rsidR="0055109B" w:rsidRPr="00BC24A0" w:rsidRDefault="008E4CE7" w:rsidP="001414DB">
      <w:pPr>
        <w:spacing w:after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222222"/>
          <w:sz w:val="20"/>
          <w:szCs w:val="20"/>
          <w:lang w:eastAsia="en-US"/>
        </w:rPr>
        <w:t>V</w:t>
      </w:r>
      <w:r w:rsidR="0055109B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 červenci 2015 zaslalo MŽP na EK </w:t>
      </w:r>
      <w:r w:rsidR="00D421B3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aktualizovaný návrh ekonomické analýzy (byly doplněny zejména údaje za oblast zemědělství) </w:t>
      </w:r>
      <w:r w:rsidR="0055109B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se žádostí o posouzení správnosti zpracování. EK však odmítla poskytnout dílčí </w:t>
      </w:r>
      <w:r w:rsidR="003C1B16">
        <w:rPr>
          <w:rFonts w:ascii="Arial" w:eastAsia="Calibri" w:hAnsi="Arial" w:cs="Arial"/>
          <w:color w:val="222222"/>
          <w:sz w:val="20"/>
          <w:szCs w:val="20"/>
          <w:lang w:eastAsia="en-US"/>
        </w:rPr>
        <w:t>stanovisko</w:t>
      </w:r>
      <w:r w:rsidR="0055109B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k materiálu s tím, </w:t>
      </w:r>
      <w:r w:rsidR="003C1B16">
        <w:rPr>
          <w:rFonts w:ascii="Arial" w:eastAsia="Calibri" w:hAnsi="Arial" w:cs="Arial"/>
          <w:color w:val="222222"/>
          <w:sz w:val="20"/>
          <w:szCs w:val="20"/>
          <w:lang w:eastAsia="en-US"/>
        </w:rPr>
        <w:t>že komplexní</w:t>
      </w:r>
      <w:r w:rsidR="00A67C80" w:rsidRPr="00A67C80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posouzení </w:t>
      </w:r>
      <w:r w:rsidR="003C1B16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dokumentů </w:t>
      </w:r>
      <w:r w:rsidR="0090371E">
        <w:rPr>
          <w:rFonts w:ascii="Arial" w:eastAsia="Calibri" w:hAnsi="Arial" w:cs="Arial"/>
          <w:color w:val="222222"/>
          <w:sz w:val="20"/>
          <w:szCs w:val="20"/>
          <w:lang w:eastAsia="en-US"/>
        </w:rPr>
        <w:t>bude zahájeno až </w:t>
      </w:r>
      <w:r w:rsidR="00A67C80" w:rsidRPr="00A67C80">
        <w:rPr>
          <w:rFonts w:ascii="Arial" w:eastAsia="Calibri" w:hAnsi="Arial" w:cs="Arial"/>
          <w:color w:val="222222"/>
          <w:sz w:val="20"/>
          <w:szCs w:val="20"/>
          <w:lang w:eastAsia="en-US"/>
        </w:rPr>
        <w:t>při dodání v příštím roce.</w:t>
      </w:r>
      <w:r w:rsidR="00D573D6" w:rsidRPr="00D573D6">
        <w:rPr>
          <w:rFonts w:ascii="Arial" w:eastAsia="Calibri" w:hAnsi="Arial" w:cs="Arial"/>
          <w:color w:val="222222"/>
          <w:sz w:val="20"/>
          <w:szCs w:val="20"/>
          <w:lang w:eastAsia="en-US"/>
        </w:rPr>
        <w:t xml:space="preserve"> </w:t>
      </w:r>
      <w:r w:rsidR="00D573D6" w:rsidRPr="001B4D3B">
        <w:rPr>
          <w:rFonts w:ascii="Arial" w:eastAsia="Calibri" w:hAnsi="Arial" w:cs="Arial"/>
          <w:color w:val="222222"/>
          <w:sz w:val="20"/>
          <w:szCs w:val="20"/>
          <w:lang w:eastAsia="en-US"/>
        </w:rPr>
        <w:t>Problematika plnění PP 6.1 byla zařazena do programu jednání zemí V4 PRES, kde budou diskutovány hlavní zkušenosti a problémy s plněním této PP napříč jednotlivými státy V4.</w:t>
      </w:r>
    </w:p>
    <w:p w:rsidR="00952B56" w:rsidRPr="00952B56" w:rsidRDefault="00F94EF5" w:rsidP="001414DB">
      <w:pPr>
        <w:tabs>
          <w:tab w:val="left" w:pos="5405"/>
        </w:tabs>
        <w:spacing w:before="0" w:after="240"/>
        <w:rPr>
          <w:rFonts w:ascii="Arial" w:hAnsi="Arial" w:cs="Arial"/>
          <w:b/>
          <w:sz w:val="20"/>
          <w:szCs w:val="20"/>
          <w:u w:val="single"/>
        </w:rPr>
      </w:pPr>
      <w:r w:rsidRPr="00952B56">
        <w:rPr>
          <w:rFonts w:ascii="Arial" w:hAnsi="Arial" w:cs="Arial"/>
          <w:b/>
          <w:sz w:val="20"/>
          <w:szCs w:val="20"/>
          <w:u w:val="single"/>
        </w:rPr>
        <w:t xml:space="preserve">T </w:t>
      </w:r>
      <w:r w:rsidR="003E2C66" w:rsidRPr="00952B56">
        <w:rPr>
          <w:rFonts w:ascii="Arial" w:hAnsi="Arial" w:cs="Arial"/>
          <w:b/>
          <w:sz w:val="20"/>
          <w:szCs w:val="20"/>
          <w:u w:val="single"/>
        </w:rPr>
        <w:t>9.3</w:t>
      </w:r>
      <w:r w:rsidRPr="00952B56">
        <w:rPr>
          <w:rFonts w:ascii="Arial" w:hAnsi="Arial" w:cs="Arial"/>
          <w:b/>
          <w:sz w:val="20"/>
          <w:szCs w:val="20"/>
          <w:u w:val="single"/>
        </w:rPr>
        <w:t xml:space="preserve"> Zdraví</w:t>
      </w:r>
    </w:p>
    <w:p w:rsidR="00406A25" w:rsidRPr="00ED6E5E" w:rsidRDefault="003E2C66" w:rsidP="001414DB">
      <w:pPr>
        <w:tabs>
          <w:tab w:val="left" w:pos="5405"/>
        </w:tabs>
        <w:spacing w:before="0" w:after="24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EK </w:t>
      </w:r>
      <w:r w:rsidR="0078401F">
        <w:rPr>
          <w:rFonts w:ascii="Arial" w:hAnsi="Arial" w:cs="Arial"/>
          <w:sz w:val="20"/>
          <w:szCs w:val="20"/>
        </w:rPr>
        <w:t>nesouhlasila</w:t>
      </w:r>
      <w:r w:rsidR="00D8601B">
        <w:rPr>
          <w:rFonts w:ascii="Arial" w:hAnsi="Arial" w:cs="Arial"/>
          <w:sz w:val="20"/>
          <w:szCs w:val="20"/>
        </w:rPr>
        <w:t xml:space="preserve"> s naplněním</w:t>
      </w:r>
      <w:r>
        <w:rPr>
          <w:rFonts w:ascii="Arial" w:hAnsi="Arial" w:cs="Arial"/>
          <w:sz w:val="20"/>
          <w:szCs w:val="20"/>
        </w:rPr>
        <w:t xml:space="preserve"> podmínky </w:t>
      </w:r>
      <w:r w:rsidR="00D8601B">
        <w:rPr>
          <w:rFonts w:ascii="Arial" w:hAnsi="Arial" w:cs="Arial"/>
          <w:sz w:val="20"/>
          <w:szCs w:val="20"/>
        </w:rPr>
        <w:t>prostřednictvím předložení</w:t>
      </w:r>
      <w:r>
        <w:rPr>
          <w:rFonts w:ascii="Arial" w:hAnsi="Arial" w:cs="Arial"/>
          <w:sz w:val="20"/>
          <w:szCs w:val="20"/>
        </w:rPr>
        <w:t xml:space="preserve"> </w:t>
      </w:r>
      <w:r w:rsidR="00D8601B" w:rsidRPr="00D8601B">
        <w:rPr>
          <w:rFonts w:ascii="Arial" w:hAnsi="Arial" w:cs="Arial"/>
          <w:sz w:val="20"/>
          <w:szCs w:val="20"/>
        </w:rPr>
        <w:t>Akčních plánů pro implementaci Zdraví 2020</w:t>
      </w:r>
      <w:r w:rsidR="00DD7F3B">
        <w:rPr>
          <w:rFonts w:ascii="Arial" w:hAnsi="Arial" w:cs="Arial"/>
          <w:sz w:val="20"/>
          <w:szCs w:val="20"/>
        </w:rPr>
        <w:t xml:space="preserve"> </w:t>
      </w:r>
      <w:r w:rsidR="00406A25">
        <w:rPr>
          <w:rFonts w:ascii="Arial" w:hAnsi="Arial" w:cs="Arial"/>
          <w:sz w:val="20"/>
          <w:szCs w:val="20"/>
        </w:rPr>
        <w:t xml:space="preserve">pouze </w:t>
      </w:r>
      <w:r w:rsidR="00DD7F3B">
        <w:rPr>
          <w:rFonts w:ascii="Arial" w:hAnsi="Arial" w:cs="Arial"/>
          <w:sz w:val="20"/>
          <w:szCs w:val="20"/>
        </w:rPr>
        <w:t>pro informaci na jednání vlády ČR</w:t>
      </w:r>
      <w:r w:rsidR="00D8601B">
        <w:rPr>
          <w:rFonts w:ascii="Arial" w:hAnsi="Arial" w:cs="Arial"/>
          <w:sz w:val="20"/>
          <w:szCs w:val="20"/>
        </w:rPr>
        <w:t xml:space="preserve">. </w:t>
      </w:r>
      <w:r w:rsidR="002F7784" w:rsidRPr="00AD2902">
        <w:rPr>
          <w:rFonts w:ascii="Arial" w:eastAsia="Calibri" w:hAnsi="Arial" w:cs="Arial"/>
          <w:bCs/>
          <w:sz w:val="20"/>
          <w:szCs w:val="20"/>
          <w:lang w:eastAsia="en-US"/>
        </w:rPr>
        <w:t xml:space="preserve">Dále EK vytýká, že ne všechny </w:t>
      </w:r>
      <w:r w:rsidR="002228A0" w:rsidRPr="00AD2902">
        <w:rPr>
          <w:rFonts w:ascii="Arial" w:eastAsia="Calibri" w:hAnsi="Arial" w:cs="Arial"/>
          <w:bCs/>
          <w:sz w:val="20"/>
          <w:szCs w:val="20"/>
          <w:lang w:eastAsia="en-US"/>
        </w:rPr>
        <w:t xml:space="preserve">informace uvedené v </w:t>
      </w:r>
      <w:r w:rsidR="002F7784" w:rsidRPr="00AD2902">
        <w:rPr>
          <w:rFonts w:ascii="Arial" w:eastAsia="Calibri" w:hAnsi="Arial" w:cs="Arial"/>
          <w:bCs/>
          <w:sz w:val="20"/>
          <w:szCs w:val="20"/>
          <w:lang w:eastAsia="en-US"/>
        </w:rPr>
        <w:t>Akční</w:t>
      </w:r>
      <w:r w:rsidR="002228A0" w:rsidRPr="00AD2902">
        <w:rPr>
          <w:rFonts w:ascii="Arial" w:eastAsia="Calibri" w:hAnsi="Arial" w:cs="Arial"/>
          <w:bCs/>
          <w:sz w:val="20"/>
          <w:szCs w:val="20"/>
          <w:lang w:eastAsia="en-US"/>
        </w:rPr>
        <w:t>m plánu plnění PP 9.3</w:t>
      </w:r>
      <w:r w:rsidR="002F7784" w:rsidRPr="00AD2902">
        <w:rPr>
          <w:rFonts w:ascii="Arial" w:eastAsia="Calibri" w:hAnsi="Arial" w:cs="Arial"/>
          <w:bCs/>
          <w:sz w:val="20"/>
          <w:szCs w:val="20"/>
          <w:lang w:eastAsia="en-US"/>
        </w:rPr>
        <w:t xml:space="preserve"> jsou relevantní pro naplnění této PP</w:t>
      </w:r>
      <w:r w:rsidR="002228A0" w:rsidRPr="00AD2902">
        <w:rPr>
          <w:rFonts w:ascii="Arial" w:eastAsia="Calibri" w:hAnsi="Arial" w:cs="Arial"/>
          <w:bCs/>
          <w:sz w:val="20"/>
          <w:szCs w:val="20"/>
          <w:lang w:eastAsia="en-US"/>
        </w:rPr>
        <w:t>, ale spíše souvisí s realizací</w:t>
      </w:r>
      <w:r w:rsidR="002F7784" w:rsidRPr="00AD2902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2228A0" w:rsidRPr="00AD2902">
        <w:rPr>
          <w:rFonts w:ascii="Arial" w:eastAsia="Calibri" w:hAnsi="Arial" w:cs="Arial"/>
          <w:bCs/>
          <w:sz w:val="20"/>
          <w:szCs w:val="20"/>
          <w:lang w:eastAsia="en-US"/>
        </w:rPr>
        <w:t>strategie</w:t>
      </w:r>
      <w:r w:rsidR="002F7784" w:rsidRPr="00AD2902">
        <w:rPr>
          <w:rFonts w:ascii="Arial" w:eastAsia="Calibri" w:hAnsi="Arial" w:cs="Arial"/>
          <w:bCs/>
          <w:sz w:val="20"/>
          <w:szCs w:val="20"/>
          <w:lang w:eastAsia="en-US"/>
        </w:rPr>
        <w:t xml:space="preserve"> Zdraví 2020.</w:t>
      </w:r>
      <w:r w:rsidR="002228A0" w:rsidRPr="00AD2902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406A25">
        <w:rPr>
          <w:rFonts w:ascii="Arial" w:eastAsia="Calibri" w:hAnsi="Arial" w:cs="Arial"/>
          <w:bCs/>
          <w:sz w:val="20"/>
          <w:szCs w:val="20"/>
          <w:lang w:eastAsia="en-US"/>
        </w:rPr>
        <w:t>M</w:t>
      </w:r>
      <w:r w:rsidR="000966CE">
        <w:rPr>
          <w:rFonts w:ascii="Arial" w:eastAsia="Calibri" w:hAnsi="Arial" w:cs="Arial"/>
          <w:bCs/>
          <w:sz w:val="20"/>
          <w:szCs w:val="20"/>
          <w:lang w:eastAsia="en-US"/>
        </w:rPr>
        <w:t>Z</w:t>
      </w:r>
      <w:r w:rsidR="00ED6E5E">
        <w:rPr>
          <w:rFonts w:ascii="Arial" w:eastAsia="Calibri" w:hAnsi="Arial" w:cs="Arial"/>
          <w:bCs/>
          <w:sz w:val="20"/>
          <w:szCs w:val="20"/>
          <w:lang w:eastAsia="en-US"/>
        </w:rPr>
        <w:t>dr</w:t>
      </w:r>
      <w:proofErr w:type="spellEnd"/>
      <w:r w:rsidR="00ED6E5E">
        <w:rPr>
          <w:rFonts w:ascii="Arial" w:eastAsia="Calibri" w:hAnsi="Arial" w:cs="Arial"/>
          <w:bCs/>
          <w:sz w:val="20"/>
          <w:szCs w:val="20"/>
          <w:lang w:eastAsia="en-US"/>
        </w:rPr>
        <w:t xml:space="preserve">. </w:t>
      </w:r>
      <w:r w:rsidR="00406A25">
        <w:rPr>
          <w:rFonts w:ascii="Arial" w:eastAsia="Calibri" w:hAnsi="Arial" w:cs="Arial"/>
          <w:bCs/>
          <w:sz w:val="20"/>
          <w:szCs w:val="20"/>
          <w:lang w:eastAsia="en-US"/>
        </w:rPr>
        <w:t>odeslalo nesouhlasnou reakci v tomto smyslu na EK.</w:t>
      </w:r>
      <w:r w:rsidR="00BD7542" w:rsidRPr="0078401F">
        <w:rPr>
          <w:rFonts w:ascii="Arial" w:eastAsia="Calibri" w:hAnsi="Arial" w:cs="Arial"/>
          <w:sz w:val="18"/>
          <w:szCs w:val="18"/>
        </w:rPr>
        <w:t xml:space="preserve"> </w:t>
      </w:r>
      <w:r w:rsidR="0078401F" w:rsidRPr="0078401F">
        <w:rPr>
          <w:rFonts w:ascii="Arial" w:hAnsi="Arial" w:cs="Arial"/>
          <w:sz w:val="20"/>
          <w:szCs w:val="20"/>
        </w:rPr>
        <w:t xml:space="preserve"> </w:t>
      </w:r>
      <w:r w:rsidR="0078401F" w:rsidRPr="00BD7542">
        <w:rPr>
          <w:rFonts w:ascii="Arial" w:hAnsi="Arial" w:cs="Arial"/>
          <w:sz w:val="20"/>
          <w:szCs w:val="20"/>
        </w:rPr>
        <w:t>Vláda ČR</w:t>
      </w:r>
      <w:r w:rsidR="0078401F">
        <w:rPr>
          <w:rFonts w:ascii="Arial" w:hAnsi="Arial" w:cs="Arial"/>
          <w:sz w:val="20"/>
          <w:szCs w:val="20"/>
        </w:rPr>
        <w:t xml:space="preserve"> následně</w:t>
      </w:r>
      <w:r w:rsidR="0078401F" w:rsidRPr="00BD7542">
        <w:rPr>
          <w:rFonts w:ascii="Arial" w:hAnsi="Arial" w:cs="Arial"/>
          <w:sz w:val="20"/>
          <w:szCs w:val="20"/>
        </w:rPr>
        <w:t xml:space="preserve"> vzala na vědomí akční plány k Zdraví 2020  - Národní strategií ochrany a podpory zdraví a prevenci nemocí svým usnesením č. 671 ze dne 20. srpna 2015.</w:t>
      </w:r>
      <w:r w:rsidR="00ED6E5E">
        <w:rPr>
          <w:rFonts w:ascii="Arial" w:hAnsi="Arial" w:cs="Arial"/>
          <w:sz w:val="20"/>
          <w:szCs w:val="20"/>
        </w:rPr>
        <w:t xml:space="preserve"> Dokument byl předložen na </w:t>
      </w:r>
      <w:r w:rsidR="0078401F">
        <w:rPr>
          <w:rFonts w:ascii="Arial" w:hAnsi="Arial" w:cs="Arial"/>
          <w:sz w:val="20"/>
          <w:szCs w:val="20"/>
        </w:rPr>
        <w:t>jednání vlády „bez rozpravy“</w:t>
      </w:r>
      <w:r w:rsidR="0078401F" w:rsidRPr="00BD7542">
        <w:rPr>
          <w:rFonts w:ascii="Arial" w:hAnsi="Arial" w:cs="Arial"/>
          <w:sz w:val="20"/>
          <w:szCs w:val="20"/>
        </w:rPr>
        <w:t xml:space="preserve"> </w:t>
      </w:r>
      <w:r w:rsidR="0078401F">
        <w:rPr>
          <w:rFonts w:ascii="Arial" w:eastAsia="Calibri" w:hAnsi="Arial" w:cs="Arial"/>
          <w:sz w:val="20"/>
          <w:szCs w:val="20"/>
        </w:rPr>
        <w:t xml:space="preserve">nicméně </w:t>
      </w:r>
      <w:r w:rsidR="0078401F" w:rsidRPr="004D3DC3">
        <w:rPr>
          <w:rFonts w:ascii="Arial" w:eastAsia="Calibri" w:hAnsi="Arial" w:cs="Arial"/>
          <w:sz w:val="20"/>
          <w:szCs w:val="20"/>
        </w:rPr>
        <w:t>bez rozporů a ve shodě se všemi resorty</w:t>
      </w:r>
      <w:r w:rsidR="0078401F" w:rsidRPr="00BD7542">
        <w:rPr>
          <w:rFonts w:ascii="Arial" w:hAnsi="Arial" w:cs="Arial"/>
          <w:sz w:val="20"/>
          <w:szCs w:val="20"/>
        </w:rPr>
        <w:t xml:space="preserve"> Na národní úrovni je tedy PP považována za splněnou. </w:t>
      </w:r>
      <w:r w:rsidR="00BD7542" w:rsidRPr="00BD7542">
        <w:rPr>
          <w:rFonts w:ascii="Arial" w:eastAsia="Calibri" w:hAnsi="Arial" w:cs="Arial"/>
          <w:bCs/>
          <w:sz w:val="20"/>
          <w:szCs w:val="20"/>
          <w:lang w:eastAsia="en-US"/>
        </w:rPr>
        <w:t>Akční plány k Zdraví 2020 budou rovněž zaslány EK k</w:t>
      </w:r>
      <w:r w:rsidR="001D033C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="00BD7542" w:rsidRPr="00BD7542">
        <w:rPr>
          <w:rFonts w:ascii="Arial" w:eastAsia="Calibri" w:hAnsi="Arial" w:cs="Arial"/>
          <w:bCs/>
          <w:sz w:val="20"/>
          <w:szCs w:val="20"/>
          <w:lang w:eastAsia="en-US"/>
        </w:rPr>
        <w:t>verifikaci</w:t>
      </w:r>
      <w:r w:rsidR="001D033C">
        <w:rPr>
          <w:rFonts w:ascii="Arial" w:eastAsia="Calibri" w:hAnsi="Arial" w:cs="Arial"/>
          <w:bCs/>
          <w:sz w:val="20"/>
          <w:szCs w:val="20"/>
          <w:lang w:eastAsia="en-US"/>
        </w:rPr>
        <w:t xml:space="preserve"> prostřednictvím druhé Čtvrtletní zprávy</w:t>
      </w:r>
      <w:r w:rsidR="00BD7542" w:rsidRPr="00BD7542">
        <w:rPr>
          <w:rFonts w:ascii="Arial" w:eastAsia="Calibri" w:hAnsi="Arial" w:cs="Arial"/>
          <w:bCs/>
          <w:sz w:val="20"/>
          <w:szCs w:val="20"/>
          <w:lang w:eastAsia="en-US"/>
        </w:rPr>
        <w:t xml:space="preserve">. </w:t>
      </w:r>
    </w:p>
    <w:p w:rsidR="00E07C52" w:rsidRPr="00952B56" w:rsidRDefault="00F94EF5" w:rsidP="00952B56">
      <w:pPr>
        <w:pStyle w:val="Nadpis2"/>
        <w:numPr>
          <w:ilvl w:val="0"/>
          <w:numId w:val="0"/>
        </w:numPr>
        <w:ind w:left="576" w:hanging="576"/>
      </w:pPr>
      <w:bookmarkStart w:id="7" w:name="_Toc422140947"/>
      <w:bookmarkStart w:id="8" w:name="_Toc422142878"/>
      <w:r w:rsidRPr="00952B56">
        <w:t xml:space="preserve">3. </w:t>
      </w:r>
      <w:r w:rsidR="00E07C52" w:rsidRPr="00952B56">
        <w:t>Stav naplňování předběžných podmínek</w:t>
      </w:r>
      <w:bookmarkEnd w:id="7"/>
      <w:bookmarkEnd w:id="8"/>
      <w:r w:rsidR="00E07C52" w:rsidRPr="00952B56">
        <w:t xml:space="preserve"> </w:t>
      </w:r>
      <w:bookmarkStart w:id="9" w:name="_Toc422140948"/>
      <w:bookmarkStart w:id="10" w:name="_Toc422142611"/>
      <w:bookmarkStart w:id="11" w:name="_Toc422142879"/>
      <w:r w:rsidR="00E07C52" w:rsidRPr="00952B56">
        <w:t>(ke dni</w:t>
      </w:r>
      <w:r w:rsidR="00A47555" w:rsidRPr="00952B56">
        <w:t xml:space="preserve"> </w:t>
      </w:r>
      <w:r w:rsidR="0022184C">
        <w:t>8</w:t>
      </w:r>
      <w:r w:rsidR="00ED1773">
        <w:t xml:space="preserve">. </w:t>
      </w:r>
      <w:r w:rsidR="0022184C">
        <w:t>září</w:t>
      </w:r>
      <w:r w:rsidR="0022184C" w:rsidRPr="00952B56">
        <w:t xml:space="preserve"> </w:t>
      </w:r>
      <w:r w:rsidR="00E07C52" w:rsidRPr="00952B56">
        <w:t>2015)</w:t>
      </w:r>
      <w:bookmarkEnd w:id="9"/>
      <w:bookmarkEnd w:id="10"/>
      <w:bookmarkEnd w:id="11"/>
    </w:p>
    <w:p w:rsidR="00E07C52" w:rsidRPr="003C0BAA" w:rsidRDefault="00E07C52" w:rsidP="00E07C52">
      <w:pPr>
        <w:spacing w:before="0" w:after="120"/>
        <w:rPr>
          <w:rFonts w:ascii="Arial" w:hAnsi="Arial" w:cs="Arial"/>
          <w:sz w:val="20"/>
          <w:szCs w:val="20"/>
        </w:rPr>
      </w:pPr>
      <w:r w:rsidRPr="003C0BAA">
        <w:rPr>
          <w:rFonts w:ascii="Arial" w:hAnsi="Arial" w:cs="Arial"/>
          <w:sz w:val="20"/>
          <w:szCs w:val="20"/>
        </w:rPr>
        <w:t xml:space="preserve">Následující tabulka vyjadřuje míru rizikovosti a procentuální naplňování jednotlivých </w:t>
      </w:r>
      <w:r w:rsidR="00796B10" w:rsidRPr="003C0BAA">
        <w:rPr>
          <w:rFonts w:ascii="Arial" w:hAnsi="Arial" w:cs="Arial"/>
          <w:sz w:val="20"/>
          <w:szCs w:val="20"/>
        </w:rPr>
        <w:t>předběžných podmínek. Jedná se</w:t>
      </w:r>
      <w:r w:rsidRPr="003C0BAA">
        <w:rPr>
          <w:rFonts w:ascii="Arial" w:hAnsi="Arial" w:cs="Arial"/>
          <w:sz w:val="20"/>
          <w:szCs w:val="20"/>
        </w:rPr>
        <w:t xml:space="preserve"> o indikativní odhad naplňování. V potaz je zejména nutné brát konkrétní okolnosti a rizika nenaplnění. Z tohoto důvodu uvádí MMR-NOK i indikativní míru rizikovosti.</w:t>
      </w:r>
    </w:p>
    <w:p w:rsidR="00E07C52" w:rsidRDefault="00E07C52" w:rsidP="00E07C52">
      <w:pPr>
        <w:spacing w:before="0"/>
        <w:rPr>
          <w:rFonts w:ascii="Arial" w:hAnsi="Arial" w:cs="Arial"/>
          <w:sz w:val="20"/>
          <w:szCs w:val="20"/>
        </w:rPr>
      </w:pPr>
      <w:r w:rsidRPr="003C0BAA">
        <w:rPr>
          <w:rFonts w:ascii="Arial" w:hAnsi="Arial" w:cs="Arial"/>
          <w:sz w:val="20"/>
          <w:szCs w:val="20"/>
        </w:rPr>
        <w:t>Splněná PP neznamená, že není třeba na ní pracovat. V e-mailu ze 17. dubna 2015 EK uvedla, že </w:t>
      </w:r>
      <w:r w:rsidRPr="003C0BAA">
        <w:rPr>
          <w:rFonts w:ascii="Arial" w:hAnsi="Arial" w:cs="Arial"/>
          <w:b/>
          <w:sz w:val="20"/>
          <w:szCs w:val="20"/>
        </w:rPr>
        <w:t>může kdykoli verifikovat efektivní apli</w:t>
      </w:r>
      <w:r w:rsidR="00906B78" w:rsidRPr="003C0BAA">
        <w:rPr>
          <w:rFonts w:ascii="Arial" w:hAnsi="Arial" w:cs="Arial"/>
          <w:b/>
          <w:sz w:val="20"/>
          <w:szCs w:val="20"/>
        </w:rPr>
        <w:t>kaci/implementaci PP i poté, co </w:t>
      </w:r>
      <w:r w:rsidRPr="003C0BAA">
        <w:rPr>
          <w:rFonts w:ascii="Arial" w:hAnsi="Arial" w:cs="Arial"/>
          <w:b/>
          <w:sz w:val="20"/>
          <w:szCs w:val="20"/>
        </w:rPr>
        <w:t>byly formálně uznány jako splněné</w:t>
      </w:r>
      <w:r w:rsidRPr="003C0BAA">
        <w:rPr>
          <w:rFonts w:ascii="Arial" w:hAnsi="Arial" w:cs="Arial"/>
          <w:sz w:val="20"/>
          <w:szCs w:val="20"/>
        </w:rPr>
        <w:t xml:space="preserve">. </w:t>
      </w:r>
    </w:p>
    <w:p w:rsidR="00914617" w:rsidRDefault="00914617" w:rsidP="00E07C52">
      <w:pPr>
        <w:spacing w:before="0"/>
        <w:rPr>
          <w:rFonts w:ascii="Arial" w:hAnsi="Arial" w:cs="Arial"/>
          <w:sz w:val="20"/>
          <w:szCs w:val="20"/>
        </w:rPr>
      </w:pPr>
    </w:p>
    <w:p w:rsidR="00146D71" w:rsidRPr="00146D71" w:rsidRDefault="00914617" w:rsidP="00146D71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Míra naplňování odráží u ještě neverifikovaných předběžných podmínek výchozí stanovisko ČR vůči EK, nicméně jak je uvedeno výše</w:t>
      </w:r>
      <w:r w:rsidR="008160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konečné posouzení splnění je plně v gesci EK. </w:t>
      </w:r>
      <w:r w:rsidR="00146D71" w:rsidRPr="00146D71">
        <w:rPr>
          <w:rFonts w:ascii="Arial" w:hAnsi="Arial" w:cs="Arial"/>
          <w:sz w:val="20"/>
          <w:szCs w:val="20"/>
        </w:rPr>
        <w:t>Aktuálně se tato situace týká předběžných podmínek 2.1, 7.2, 9.3, 10.1</w:t>
      </w:r>
      <w:r w:rsidR="00ED6E5E">
        <w:rPr>
          <w:rFonts w:ascii="Arial" w:hAnsi="Arial" w:cs="Arial"/>
          <w:sz w:val="20"/>
          <w:szCs w:val="20"/>
        </w:rPr>
        <w:t xml:space="preserve"> a</w:t>
      </w:r>
      <w:r w:rsidR="00146D71" w:rsidRPr="00146D71">
        <w:rPr>
          <w:rFonts w:ascii="Arial" w:hAnsi="Arial" w:cs="Arial"/>
          <w:sz w:val="20"/>
          <w:szCs w:val="20"/>
        </w:rPr>
        <w:t xml:space="preserve"> 10.3, </w:t>
      </w:r>
    </w:p>
    <w:p w:rsidR="00146D71" w:rsidRPr="00146D71" w:rsidRDefault="00146D71" w:rsidP="00146D71">
      <w:pPr>
        <w:spacing w:before="0"/>
        <w:rPr>
          <w:rFonts w:ascii="Arial" w:hAnsi="Arial" w:cs="Arial"/>
          <w:sz w:val="20"/>
          <w:szCs w:val="20"/>
        </w:rPr>
      </w:pPr>
      <w:r w:rsidRPr="00146D71">
        <w:rPr>
          <w:rFonts w:ascii="Arial" w:hAnsi="Arial" w:cs="Arial"/>
          <w:b/>
          <w:sz w:val="20"/>
          <w:szCs w:val="20"/>
        </w:rPr>
        <w:t>PP 2.1 Digitální růst</w:t>
      </w:r>
      <w:r w:rsidR="00ED6E5E">
        <w:rPr>
          <w:rFonts w:ascii="Arial" w:hAnsi="Arial" w:cs="Arial"/>
          <w:b/>
          <w:sz w:val="20"/>
          <w:szCs w:val="20"/>
        </w:rPr>
        <w:t xml:space="preserve"> -</w:t>
      </w:r>
      <w:r w:rsidRPr="00146D71">
        <w:rPr>
          <w:rFonts w:ascii="Arial" w:hAnsi="Arial" w:cs="Arial"/>
          <w:b/>
          <w:sz w:val="20"/>
          <w:szCs w:val="20"/>
        </w:rPr>
        <w:t xml:space="preserve"> na národní úrovni byla splněna 30. června 2015, kdy byla vládou ČR schválena Strategie digitální gramotnosti 2015-2020.</w:t>
      </w:r>
      <w:r w:rsidRPr="00146D71">
        <w:rPr>
          <w:rFonts w:ascii="Arial" w:hAnsi="Arial" w:cs="Arial"/>
          <w:sz w:val="20"/>
          <w:szCs w:val="20"/>
        </w:rPr>
        <w:t xml:space="preserve"> Neformálně, v souvislosti s Čtvrtletní zprávou o stavu naplňování PP pro informaci EK za období březen – květen 2015, byl tento dokument zaslán na EK. Nyní se očekává neformální schválení dokumentu ze strany EK, poté bude následovat formální verifikace přes systém SFC.</w:t>
      </w:r>
    </w:p>
    <w:p w:rsidR="00146D71" w:rsidRPr="00146D71" w:rsidRDefault="00146D71" w:rsidP="00146D71">
      <w:pPr>
        <w:spacing w:before="0"/>
        <w:rPr>
          <w:rFonts w:ascii="Arial" w:hAnsi="Arial" w:cs="Arial"/>
          <w:sz w:val="20"/>
          <w:szCs w:val="20"/>
        </w:rPr>
      </w:pPr>
      <w:r w:rsidRPr="00146D71">
        <w:rPr>
          <w:rFonts w:ascii="Arial" w:hAnsi="Arial" w:cs="Arial"/>
          <w:b/>
          <w:sz w:val="20"/>
          <w:szCs w:val="20"/>
        </w:rPr>
        <w:t>Naplnění kritéria PP 7.2 Železniční doprava</w:t>
      </w:r>
      <w:r w:rsidRPr="00146D71">
        <w:rPr>
          <w:rFonts w:ascii="Arial" w:hAnsi="Arial" w:cs="Arial"/>
          <w:sz w:val="20"/>
          <w:szCs w:val="20"/>
        </w:rPr>
        <w:t xml:space="preserve"> nastalo schválením dokumentu Koncepce veřejné dopravy na národní úrovni dne 15. června 2015 a tímto můžeme považovat PP za částečně splněnou.  Koncepce veřejné dopravy bude EK zaslána v rámci druhé Čtvrtletní </w:t>
      </w:r>
      <w:r w:rsidR="00ED6E5E">
        <w:rPr>
          <w:rFonts w:ascii="Arial" w:hAnsi="Arial" w:cs="Arial"/>
          <w:sz w:val="20"/>
          <w:szCs w:val="20"/>
        </w:rPr>
        <w:t>zprávy o stavu naplňování PP za </w:t>
      </w:r>
      <w:r w:rsidRPr="00146D71">
        <w:rPr>
          <w:rFonts w:ascii="Arial" w:hAnsi="Arial" w:cs="Arial"/>
          <w:sz w:val="20"/>
          <w:szCs w:val="20"/>
        </w:rPr>
        <w:t>období červen-srpen 2015 dle předpokladu na konci září/z</w:t>
      </w:r>
      <w:r w:rsidR="005A6E49">
        <w:rPr>
          <w:rFonts w:ascii="Arial" w:hAnsi="Arial" w:cs="Arial"/>
          <w:sz w:val="20"/>
          <w:szCs w:val="20"/>
        </w:rPr>
        <w:t>ačátku října 2015. Následně lze </w:t>
      </w:r>
      <w:r w:rsidRPr="00146D71">
        <w:rPr>
          <w:rFonts w:ascii="Arial" w:hAnsi="Arial" w:cs="Arial"/>
          <w:sz w:val="20"/>
          <w:szCs w:val="20"/>
        </w:rPr>
        <w:t>očekávat schválení EK nejdříve neformálně, poté formálně skrze SFC systém.</w:t>
      </w:r>
    </w:p>
    <w:p w:rsidR="00146D71" w:rsidRPr="00146D71" w:rsidRDefault="00146D71" w:rsidP="00146D71">
      <w:pPr>
        <w:spacing w:before="0"/>
        <w:rPr>
          <w:rFonts w:ascii="Arial" w:hAnsi="Arial" w:cs="Arial"/>
          <w:sz w:val="20"/>
          <w:szCs w:val="20"/>
        </w:rPr>
      </w:pPr>
      <w:r w:rsidRPr="00146D71">
        <w:rPr>
          <w:rFonts w:ascii="Arial" w:hAnsi="Arial" w:cs="Arial"/>
          <w:sz w:val="20"/>
          <w:szCs w:val="20"/>
        </w:rPr>
        <w:t xml:space="preserve">Taktéž </w:t>
      </w:r>
      <w:r w:rsidRPr="00146D71">
        <w:rPr>
          <w:rFonts w:ascii="Arial" w:hAnsi="Arial" w:cs="Arial"/>
          <w:b/>
          <w:sz w:val="20"/>
          <w:szCs w:val="20"/>
        </w:rPr>
        <w:t>PP 9.3 „Zdraví“ je na národní úrovni považována za splněnou</w:t>
      </w:r>
      <w:r w:rsidR="00ED6E5E">
        <w:rPr>
          <w:rFonts w:ascii="Arial" w:hAnsi="Arial" w:cs="Arial"/>
          <w:b/>
          <w:sz w:val="20"/>
          <w:szCs w:val="20"/>
        </w:rPr>
        <w:t xml:space="preserve">, </w:t>
      </w:r>
      <w:r w:rsidRPr="00146D71">
        <w:rPr>
          <w:rFonts w:ascii="Arial" w:hAnsi="Arial" w:cs="Arial"/>
          <w:b/>
          <w:sz w:val="20"/>
          <w:szCs w:val="20"/>
        </w:rPr>
        <w:t xml:space="preserve">a to tím, že vláda ČR </w:t>
      </w:r>
      <w:r w:rsidR="00985686">
        <w:rPr>
          <w:rFonts w:ascii="Arial" w:hAnsi="Arial" w:cs="Arial"/>
          <w:b/>
          <w:sz w:val="20"/>
          <w:szCs w:val="20"/>
        </w:rPr>
        <w:t>vzala</w:t>
      </w:r>
      <w:r w:rsidRPr="00146D71">
        <w:rPr>
          <w:rFonts w:ascii="Arial" w:hAnsi="Arial" w:cs="Arial"/>
          <w:b/>
          <w:sz w:val="20"/>
          <w:szCs w:val="20"/>
        </w:rPr>
        <w:t xml:space="preserve"> na vědomí akční plány pro implementaci Zdraví 2020.</w:t>
      </w:r>
      <w:r w:rsidRPr="00146D71">
        <w:rPr>
          <w:rFonts w:ascii="Arial" w:hAnsi="Arial" w:cs="Arial"/>
          <w:sz w:val="20"/>
          <w:szCs w:val="20"/>
        </w:rPr>
        <w:t xml:space="preserve"> Rovněž zde dojde k brzkému zaslání EK k neformální verifikaci, na kterou pak bude pravděpodobně navazovat verifikace formální skrze SFC.</w:t>
      </w:r>
    </w:p>
    <w:p w:rsidR="00914617" w:rsidRPr="003C0BAA" w:rsidRDefault="00146D71" w:rsidP="00E07C52">
      <w:pPr>
        <w:spacing w:before="0"/>
        <w:rPr>
          <w:rFonts w:ascii="Arial" w:hAnsi="Arial" w:cs="Arial"/>
          <w:sz w:val="20"/>
          <w:szCs w:val="20"/>
        </w:rPr>
      </w:pPr>
      <w:r w:rsidRPr="00146D71">
        <w:rPr>
          <w:rFonts w:ascii="Arial" w:hAnsi="Arial" w:cs="Arial"/>
          <w:sz w:val="20"/>
          <w:szCs w:val="20"/>
        </w:rPr>
        <w:t xml:space="preserve">Ve fázi formální verifikace jsou již </w:t>
      </w:r>
      <w:r w:rsidRPr="00146D71">
        <w:rPr>
          <w:rFonts w:ascii="Arial" w:hAnsi="Arial" w:cs="Arial"/>
          <w:b/>
          <w:sz w:val="20"/>
          <w:szCs w:val="20"/>
        </w:rPr>
        <w:t>předběžné podmínky 10.1 „Ukončování školní docházky“ a 10.3 „Celoživotní učení“.</w:t>
      </w:r>
      <w:r w:rsidRPr="00146D71">
        <w:rPr>
          <w:rFonts w:ascii="Arial" w:hAnsi="Arial" w:cs="Arial"/>
          <w:sz w:val="20"/>
          <w:szCs w:val="20"/>
        </w:rPr>
        <w:t xml:space="preserve"> Gestorem PP byl v dohodnutém termínu zaslán přes systém SFC dokument Akční plán pro inkluzivní vzdělávání na roky 2016-2018, který by měl t</w:t>
      </w:r>
      <w:r w:rsidR="00ED6E5E">
        <w:rPr>
          <w:rFonts w:ascii="Arial" w:hAnsi="Arial" w:cs="Arial"/>
          <w:sz w:val="20"/>
          <w:szCs w:val="20"/>
        </w:rPr>
        <w:t>yto podmínky naplnit. Nyní se </w:t>
      </w:r>
      <w:r w:rsidRPr="00146D71">
        <w:rPr>
          <w:rFonts w:ascii="Arial" w:hAnsi="Arial" w:cs="Arial"/>
          <w:sz w:val="20"/>
          <w:szCs w:val="20"/>
        </w:rPr>
        <w:t xml:space="preserve">očekává reakce/verifikace EK. </w:t>
      </w:r>
    </w:p>
    <w:p w:rsidR="00E07C52" w:rsidRPr="00952B56" w:rsidRDefault="00952B56" w:rsidP="00952B56">
      <w:pPr>
        <w:pStyle w:val="Nadpis3"/>
        <w:numPr>
          <w:ilvl w:val="0"/>
          <w:numId w:val="0"/>
        </w:numPr>
        <w:spacing w:after="240"/>
        <w:ind w:left="720" w:hanging="720"/>
        <w:rPr>
          <w:rFonts w:ascii="Arial" w:hAnsi="Arial" w:cs="Arial"/>
          <w:color w:val="auto"/>
          <w:u w:val="single"/>
        </w:rPr>
      </w:pPr>
      <w:r w:rsidRPr="00952B56">
        <w:rPr>
          <w:rFonts w:ascii="Arial" w:hAnsi="Arial" w:cs="Arial"/>
          <w:color w:val="auto"/>
          <w:u w:val="single"/>
        </w:rPr>
        <w:lastRenderedPageBreak/>
        <w:t xml:space="preserve">3.1 </w:t>
      </w:r>
      <w:r w:rsidR="00E07C52" w:rsidRPr="00952B56">
        <w:rPr>
          <w:rFonts w:ascii="Arial" w:hAnsi="Arial" w:cs="Arial"/>
          <w:color w:val="auto"/>
          <w:u w:val="single"/>
        </w:rPr>
        <w:t xml:space="preserve">Přehled </w:t>
      </w:r>
      <w:r>
        <w:rPr>
          <w:rFonts w:ascii="Arial" w:hAnsi="Arial" w:cs="Arial"/>
          <w:color w:val="auto"/>
          <w:u w:val="single"/>
        </w:rPr>
        <w:t>naplňování předběžných podmínek</w:t>
      </w:r>
    </w:p>
    <w:p w:rsidR="00E07C52" w:rsidRPr="004F4E3D" w:rsidRDefault="00E07C52" w:rsidP="00796B10">
      <w:pPr>
        <w:pStyle w:val="Odstavecseseznamem"/>
        <w:numPr>
          <w:ilvl w:val="0"/>
          <w:numId w:val="22"/>
        </w:numPr>
        <w:spacing w:before="0" w:after="240"/>
        <w:ind w:left="284" w:hanging="284"/>
        <w:rPr>
          <w:rFonts w:ascii="Arial" w:hAnsi="Arial" w:cs="Arial"/>
          <w:sz w:val="20"/>
          <w:szCs w:val="20"/>
        </w:rPr>
      </w:pPr>
      <w:r w:rsidRPr="00374117">
        <w:rPr>
          <w:rFonts w:ascii="Arial" w:hAnsi="Arial" w:cs="Arial"/>
          <w:b/>
          <w:sz w:val="20"/>
          <w:szCs w:val="20"/>
        </w:rPr>
        <w:t>splněno:</w:t>
      </w:r>
      <w:r w:rsidRPr="004F4E3D">
        <w:rPr>
          <w:rFonts w:ascii="Arial" w:hAnsi="Arial" w:cs="Arial"/>
          <w:sz w:val="20"/>
          <w:szCs w:val="20"/>
        </w:rPr>
        <w:t xml:space="preserve"> </w:t>
      </w:r>
      <w:r w:rsidR="00C90001" w:rsidRPr="004F4E3D">
        <w:rPr>
          <w:rFonts w:ascii="Arial" w:hAnsi="Arial" w:cs="Arial"/>
          <w:sz w:val="20"/>
          <w:szCs w:val="20"/>
        </w:rPr>
        <w:t>2</w:t>
      </w:r>
      <w:r w:rsidR="007261AC" w:rsidRPr="004F4E3D">
        <w:rPr>
          <w:rFonts w:ascii="Arial" w:hAnsi="Arial" w:cs="Arial"/>
          <w:sz w:val="20"/>
          <w:szCs w:val="20"/>
        </w:rPr>
        <w:t>3</w:t>
      </w:r>
      <w:r w:rsidRPr="004F4E3D">
        <w:rPr>
          <w:rFonts w:ascii="Arial" w:hAnsi="Arial" w:cs="Arial"/>
          <w:sz w:val="20"/>
          <w:szCs w:val="20"/>
        </w:rPr>
        <w:t xml:space="preserve"> předběžných podmínek,</w:t>
      </w:r>
    </w:p>
    <w:p w:rsidR="00E07C52" w:rsidRPr="004F4E3D" w:rsidRDefault="00E07C52" w:rsidP="00E07C52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r w:rsidRPr="00374117">
        <w:rPr>
          <w:rFonts w:ascii="Arial" w:hAnsi="Arial" w:cs="Arial"/>
          <w:b/>
          <w:sz w:val="20"/>
          <w:szCs w:val="20"/>
        </w:rPr>
        <w:t>částečně splněno:</w:t>
      </w:r>
      <w:r w:rsidRPr="004F4E3D">
        <w:rPr>
          <w:rFonts w:ascii="Arial" w:hAnsi="Arial" w:cs="Arial"/>
          <w:sz w:val="20"/>
          <w:szCs w:val="20"/>
        </w:rPr>
        <w:t xml:space="preserve"> 1</w:t>
      </w:r>
      <w:r w:rsidR="007261AC" w:rsidRPr="004F4E3D">
        <w:rPr>
          <w:rFonts w:ascii="Arial" w:hAnsi="Arial" w:cs="Arial"/>
          <w:sz w:val="20"/>
          <w:szCs w:val="20"/>
        </w:rPr>
        <w:t>6</w:t>
      </w:r>
      <w:r w:rsidRPr="004F4E3D">
        <w:rPr>
          <w:rFonts w:ascii="Arial" w:hAnsi="Arial" w:cs="Arial"/>
          <w:sz w:val="20"/>
          <w:szCs w:val="20"/>
        </w:rPr>
        <w:t xml:space="preserve"> předběžných podmínek, </w:t>
      </w:r>
    </w:p>
    <w:p w:rsidR="00E07C52" w:rsidRPr="004F4E3D" w:rsidRDefault="00E07C52" w:rsidP="00E07C52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r w:rsidRPr="00374117">
        <w:rPr>
          <w:rFonts w:ascii="Arial" w:hAnsi="Arial" w:cs="Arial"/>
          <w:b/>
          <w:sz w:val="20"/>
          <w:szCs w:val="20"/>
        </w:rPr>
        <w:t>nesplněno:</w:t>
      </w:r>
      <w:r w:rsidRPr="004F4E3D">
        <w:rPr>
          <w:rFonts w:ascii="Arial" w:hAnsi="Arial" w:cs="Arial"/>
          <w:sz w:val="20"/>
          <w:szCs w:val="20"/>
        </w:rPr>
        <w:t xml:space="preserve"> </w:t>
      </w:r>
      <w:r w:rsidR="00C90001" w:rsidRPr="004F4E3D">
        <w:rPr>
          <w:rFonts w:ascii="Arial" w:hAnsi="Arial" w:cs="Arial"/>
          <w:sz w:val="20"/>
          <w:szCs w:val="20"/>
        </w:rPr>
        <w:t>1</w:t>
      </w:r>
      <w:r w:rsidRPr="004F4E3D">
        <w:rPr>
          <w:rFonts w:ascii="Arial" w:hAnsi="Arial" w:cs="Arial"/>
          <w:sz w:val="20"/>
          <w:szCs w:val="20"/>
        </w:rPr>
        <w:t xml:space="preserve"> předběžn</w:t>
      </w:r>
      <w:r w:rsidR="00442C2A" w:rsidRPr="004F4E3D">
        <w:rPr>
          <w:rFonts w:ascii="Arial" w:hAnsi="Arial" w:cs="Arial"/>
          <w:sz w:val="20"/>
          <w:szCs w:val="20"/>
        </w:rPr>
        <w:t>á</w:t>
      </w:r>
      <w:r w:rsidRPr="004F4E3D">
        <w:rPr>
          <w:rFonts w:ascii="Arial" w:hAnsi="Arial" w:cs="Arial"/>
          <w:sz w:val="20"/>
          <w:szCs w:val="20"/>
        </w:rPr>
        <w:t xml:space="preserve"> podmínk</w:t>
      </w:r>
      <w:r w:rsidR="00442C2A" w:rsidRPr="004F4E3D">
        <w:rPr>
          <w:rFonts w:ascii="Arial" w:hAnsi="Arial" w:cs="Arial"/>
          <w:sz w:val="20"/>
          <w:szCs w:val="20"/>
        </w:rPr>
        <w:t>a</w:t>
      </w:r>
    </w:p>
    <w:p w:rsidR="009F4DDC" w:rsidRPr="004F4E3D" w:rsidRDefault="009F4DDC" w:rsidP="00C36A68">
      <w:pPr>
        <w:spacing w:before="0"/>
        <w:rPr>
          <w:rFonts w:ascii="Arial" w:hAnsi="Arial" w:cs="Arial"/>
          <w:sz w:val="20"/>
          <w:szCs w:val="20"/>
        </w:rPr>
      </w:pPr>
      <w:r w:rsidRPr="004F4E3D">
        <w:rPr>
          <w:rFonts w:ascii="Arial" w:hAnsi="Arial" w:cs="Arial"/>
          <w:sz w:val="20"/>
          <w:szCs w:val="20"/>
        </w:rPr>
        <w:t>V uvedené tabulce je následující barevné odlišení:</w:t>
      </w:r>
    </w:p>
    <w:p w:rsidR="009F4DDC" w:rsidRPr="004F4E3D" w:rsidRDefault="009F4DDC" w:rsidP="009F4DDC">
      <w:pPr>
        <w:pStyle w:val="Odstavecseseznamem"/>
        <w:numPr>
          <w:ilvl w:val="0"/>
          <w:numId w:val="40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4F4E3D">
        <w:rPr>
          <w:rFonts w:ascii="Arial" w:hAnsi="Arial" w:cs="Arial"/>
          <w:sz w:val="20"/>
          <w:szCs w:val="20"/>
        </w:rPr>
        <w:t xml:space="preserve">splněné PP – </w:t>
      </w:r>
      <w:r w:rsidRPr="004F4E3D">
        <w:rPr>
          <w:rFonts w:ascii="Arial" w:hAnsi="Arial" w:cs="Arial"/>
          <w:color w:val="76923C" w:themeColor="accent3" w:themeShade="BF"/>
          <w:sz w:val="20"/>
          <w:szCs w:val="20"/>
        </w:rPr>
        <w:t>zelená</w:t>
      </w:r>
      <w:r w:rsidRPr="004F4E3D">
        <w:rPr>
          <w:rFonts w:ascii="Arial" w:hAnsi="Arial" w:cs="Arial"/>
          <w:sz w:val="20"/>
          <w:szCs w:val="20"/>
        </w:rPr>
        <w:t xml:space="preserve"> </w:t>
      </w:r>
    </w:p>
    <w:p w:rsidR="009F4DDC" w:rsidRPr="004F4E3D" w:rsidRDefault="009F4DDC" w:rsidP="009F4DDC">
      <w:pPr>
        <w:pStyle w:val="Odstavecseseznamem"/>
        <w:numPr>
          <w:ilvl w:val="0"/>
          <w:numId w:val="40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4F4E3D">
        <w:rPr>
          <w:rFonts w:ascii="Arial" w:hAnsi="Arial" w:cs="Arial"/>
          <w:sz w:val="20"/>
          <w:szCs w:val="20"/>
        </w:rPr>
        <w:t xml:space="preserve">částečně splněné PP – </w:t>
      </w:r>
      <w:r w:rsidRPr="004F4E3D">
        <w:rPr>
          <w:rFonts w:ascii="Arial" w:hAnsi="Arial" w:cs="Arial"/>
          <w:color w:val="548DD4" w:themeColor="text2" w:themeTint="99"/>
          <w:sz w:val="20"/>
          <w:szCs w:val="20"/>
        </w:rPr>
        <w:t>modrá</w:t>
      </w:r>
    </w:p>
    <w:p w:rsidR="009F4DDC" w:rsidRPr="004F4E3D" w:rsidRDefault="009F4DDC" w:rsidP="009F4DDC">
      <w:pPr>
        <w:pStyle w:val="Odstavecseseznamem"/>
        <w:numPr>
          <w:ilvl w:val="0"/>
          <w:numId w:val="40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4F4E3D">
        <w:rPr>
          <w:rFonts w:ascii="Arial" w:hAnsi="Arial" w:cs="Arial"/>
          <w:sz w:val="20"/>
          <w:szCs w:val="20"/>
        </w:rPr>
        <w:t xml:space="preserve">nesplněné PP – </w:t>
      </w:r>
      <w:r w:rsidRPr="004F4E3D">
        <w:rPr>
          <w:rFonts w:ascii="Arial" w:hAnsi="Arial" w:cs="Arial"/>
          <w:color w:val="C0504D" w:themeColor="accent2"/>
          <w:sz w:val="20"/>
          <w:szCs w:val="20"/>
        </w:rPr>
        <w:t>červená</w:t>
      </w:r>
    </w:p>
    <w:p w:rsidR="002F4020" w:rsidRDefault="009F4DDC" w:rsidP="00847498">
      <w:pPr>
        <w:pStyle w:val="Odstavecseseznamem"/>
        <w:numPr>
          <w:ilvl w:val="0"/>
          <w:numId w:val="40"/>
        </w:numPr>
        <w:spacing w:before="0"/>
        <w:ind w:left="284" w:hanging="284"/>
        <w:jc w:val="left"/>
        <w:rPr>
          <w:rFonts w:ascii="Arial" w:hAnsi="Arial" w:cs="Arial"/>
          <w:b/>
          <w:sz w:val="20"/>
          <w:szCs w:val="20"/>
        </w:rPr>
      </w:pPr>
      <w:r w:rsidRPr="004F4E3D">
        <w:rPr>
          <w:rFonts w:ascii="Arial" w:hAnsi="Arial" w:cs="Arial"/>
          <w:sz w:val="20"/>
          <w:szCs w:val="20"/>
        </w:rPr>
        <w:t xml:space="preserve">nejvyšší rizikovost – </w:t>
      </w:r>
      <w:r w:rsidRPr="004F4E3D">
        <w:rPr>
          <w:rFonts w:ascii="Arial" w:hAnsi="Arial" w:cs="Arial"/>
          <w:b/>
          <w:sz w:val="20"/>
          <w:szCs w:val="20"/>
        </w:rPr>
        <w:t>tučně zvýrazněno</w:t>
      </w:r>
    </w:p>
    <w:p w:rsidR="00847498" w:rsidRPr="002F4020" w:rsidRDefault="00847498" w:rsidP="002F4020">
      <w:pPr>
        <w:rPr>
          <w:lang w:eastAsia="en-US"/>
        </w:rPr>
      </w:pPr>
    </w:p>
    <w:tbl>
      <w:tblPr>
        <w:tblW w:w="9154" w:type="dxa"/>
        <w:jc w:val="center"/>
        <w:tblInd w:w="21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2948"/>
        <w:gridCol w:w="1231"/>
        <w:gridCol w:w="1191"/>
        <w:gridCol w:w="829"/>
        <w:gridCol w:w="794"/>
        <w:gridCol w:w="1304"/>
      </w:tblGrid>
      <w:tr w:rsidR="004F4E3D" w:rsidRPr="003C0BAA" w:rsidTr="00406A25">
        <w:trPr>
          <w:trHeight w:val="293"/>
          <w:tblHeader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F4E3D" w:rsidRPr="00681CF3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F4E3D" w:rsidRPr="00681CF3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Zkrácený název uplatněných PP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F4E3D" w:rsidRPr="00681CF3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 plnění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F4E3D" w:rsidRPr="00681CF3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Rizikovost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F4E3D" w:rsidRPr="00681CF3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 plnění</w:t>
            </w:r>
          </w:p>
          <w:p w:rsidR="004F4E3D" w:rsidRPr="00681CF3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Cs/>
                <w:sz w:val="20"/>
                <w:szCs w:val="20"/>
              </w:rPr>
              <w:t>(v 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F4E3D" w:rsidRPr="00681CF3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Gestor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F4E3D" w:rsidRPr="00681CF3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1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Nejzazší termín splnění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T.1.1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VaV</w:t>
            </w:r>
            <w:proofErr w:type="spellEnd"/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inteligentní specializace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62F3">
              <w:rPr>
                <w:rFonts w:ascii="Arial" w:eastAsia="Times New Roman" w:hAnsi="Arial" w:cs="Arial"/>
                <w:bCs/>
                <w:sz w:val="20"/>
                <w:szCs w:val="20"/>
              </w:rPr>
              <w:t>80%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ÚV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30. 9. 2015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T.1.2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VaV</w:t>
            </w:r>
            <w:proofErr w:type="spellEnd"/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víceletý plán pro sestavování rozpočtu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ÚV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T.2.1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Digitální růst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B534A7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sz w:val="20"/>
                <w:szCs w:val="20"/>
              </w:rPr>
              <w:t>T.2.2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sz w:val="20"/>
                <w:szCs w:val="20"/>
              </w:rPr>
              <w:t>Infrastruktura přístupových sítí nové generace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4E3D" w:rsidRPr="00B534A7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4E3D" w:rsidRPr="00B534A7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4E3D" w:rsidRPr="00B534A7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4E3D" w:rsidRPr="00B534A7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4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30. 9. 2015</w:t>
            </w:r>
            <w:r w:rsidR="00AF2ADB">
              <w:rPr>
                <w:rStyle w:val="Znakapoznpodarou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T.3.1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Podpora podnikání (SBA)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C576D9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31. 10. 2015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Energetická účinnost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31. 12. 2015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T.4.2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Výroba tepla a elektřiny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T.4.3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Obnovitelné zdroje energie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T.5.1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Předcházení riziku a jeho řízení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C576D9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  <w:r w:rsidR="004F4E3D"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25%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MŽP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31. 12. 2015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T.6.1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Vodní hospodářství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C576D9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MŽP+</w:t>
            </w:r>
            <w:proofErr w:type="spellStart"/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31. 12. 2016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T.6.2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Odpadové hospodářství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C576D9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MŽP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31. 12. 2016</w:t>
            </w:r>
          </w:p>
        </w:tc>
      </w:tr>
      <w:tr w:rsidR="004F4E3D" w:rsidRPr="003C0BAA" w:rsidTr="00406A25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EZFRV 4. 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Dobrý zemědělský a environmentální stav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EZFRV 4. 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Minimální požadavky na hnojiva a přípravky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EZFRV 4. 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Jiné příslušné vnitrostátní normy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4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ENRF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Víceletý národní strategický plán akvakultury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4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ENRF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Správní kapacita rybolovu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T.7.1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Silniční doprava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83%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30. 9. 2016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T.7.2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Železniční doprava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30. 9. 2016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T.7.3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Ostatní doprava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30. 9. 2016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T.7.4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Energetické sítě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T.8.1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Aktivní politika zaměstnanosti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MPSV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510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T.8.2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Samostatná výdělečná činnost, podnikání a zakládání firem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DE100E" w:rsidRDefault="004F4E3D" w:rsidP="00406A25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1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C576D9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31. 10. 2015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T.8.3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Reforma institucí trhu práce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MPSV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T.8.5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Pomoc pracovníkům, podnikům a podnikatelům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MPSV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31. 10. 2015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T.8.6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Podpora zaměstnanosti mladých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MPSV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T.9.1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Snižovaní chudoby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MPSV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T.9.2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Politika začleňování Romů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84%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ÚV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31. 3. 2016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T.9.3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Zdraví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  <w:r w:rsidR="00D67650">
              <w:rPr>
                <w:rStyle w:val="Znakapoznpodarou"/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MZdr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T.10.1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Ukončování školní docházky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374117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  <w:r w:rsidR="00374117">
              <w:rPr>
                <w:rStyle w:val="Znakapoznpodarou"/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MŠMT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T.10.2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Vysokoškolské vzdělání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MŠMT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T.10.3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Celoživotní učení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374117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MŠMT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T.10.4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Odborné vzdělávání a příprava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MŠMT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FD2B86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FD2B86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Veřejná správa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FD2B86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D2B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FD2B86" w:rsidRDefault="004F4E3D" w:rsidP="005A6E49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2B86">
              <w:rPr>
                <w:rFonts w:ascii="Arial" w:eastAsia="Times New Roman" w:hAnsi="Arial" w:cs="Arial"/>
                <w:bCs/>
                <w:sz w:val="20"/>
                <w:szCs w:val="20"/>
              </w:rPr>
              <w:t>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FD2B86" w:rsidRDefault="004F4E3D" w:rsidP="005A6E49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2B86">
              <w:rPr>
                <w:rFonts w:ascii="Arial" w:eastAsia="Times New Roman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FD2B86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2B86">
              <w:rPr>
                <w:rFonts w:ascii="Arial" w:eastAsia="Times New Roman" w:hAnsi="Arial" w:cs="Arial"/>
                <w:bCs/>
                <w:sz w:val="20"/>
                <w:szCs w:val="20"/>
              </w:rPr>
              <w:t>MV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FD2B86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2B86">
              <w:rPr>
                <w:rFonts w:ascii="Arial" w:eastAsia="Times New Roman" w:hAnsi="Arial" w:cs="Arial"/>
                <w:bCs/>
                <w:sz w:val="20"/>
                <w:szCs w:val="20"/>
              </w:rPr>
              <w:t>31. 12. 2016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Nediskriminace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ÚV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Rovnost mužů a žen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ÚV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postižení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MPSV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Veřejné zakázky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78EB">
              <w:rPr>
                <w:rFonts w:ascii="Arial" w:eastAsia="Times New Roman" w:hAnsi="Arial" w:cs="Arial"/>
                <w:bCs/>
                <w:sz w:val="20"/>
                <w:szCs w:val="20"/>
              </w:rPr>
              <w:t>25%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MMR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31. 12. 2016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Veřejná podpora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66%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MMR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30. 6. 2016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EIA/SEA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MŽP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---</w:t>
            </w:r>
          </w:p>
        </w:tc>
      </w:tr>
      <w:tr w:rsidR="004F4E3D" w:rsidRPr="003C0BAA" w:rsidTr="00406A25">
        <w:trPr>
          <w:trHeight w:val="369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Statistické systémy a ukazatele výsledků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3C0BAA" w:rsidRDefault="004F4E3D" w:rsidP="00406A25">
            <w:pPr>
              <w:spacing w:before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B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Částečně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XX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17%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MMR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F4E3D" w:rsidRPr="00A61741" w:rsidRDefault="004F4E3D" w:rsidP="00406A25">
            <w:pPr>
              <w:spacing w:befor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1741">
              <w:rPr>
                <w:rFonts w:ascii="Arial" w:eastAsia="Times New Roman" w:hAnsi="Arial" w:cs="Arial"/>
                <w:bCs/>
                <w:sz w:val="20"/>
                <w:szCs w:val="20"/>
              </w:rPr>
              <w:t>30. 6. 2016</w:t>
            </w:r>
          </w:p>
        </w:tc>
      </w:tr>
    </w:tbl>
    <w:p w:rsidR="00952B56" w:rsidRDefault="005E4474" w:rsidP="005E4474">
      <w:pPr>
        <w:pStyle w:val="Nadpis3"/>
        <w:numPr>
          <w:ilvl w:val="0"/>
          <w:numId w:val="0"/>
        </w:numPr>
        <w:spacing w:before="0"/>
        <w:ind w:hanging="720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br/>
      </w:r>
      <w:r w:rsidR="00952B56" w:rsidRPr="00952B56">
        <w:rPr>
          <w:rFonts w:ascii="Arial" w:hAnsi="Arial" w:cs="Arial"/>
          <w:color w:val="auto"/>
          <w:u w:val="single"/>
        </w:rPr>
        <w:t>3.2</w:t>
      </w:r>
      <w:r w:rsidR="00952B56">
        <w:rPr>
          <w:rFonts w:ascii="Arial" w:hAnsi="Arial" w:cs="Arial"/>
          <w:color w:val="auto"/>
          <w:u w:val="single"/>
        </w:rPr>
        <w:t xml:space="preserve"> </w:t>
      </w:r>
      <w:r w:rsidR="00952B56" w:rsidRPr="00952B56">
        <w:rPr>
          <w:rFonts w:ascii="Arial" w:hAnsi="Arial" w:cs="Arial"/>
          <w:color w:val="auto"/>
          <w:u w:val="single"/>
        </w:rPr>
        <w:t>Podrobný popis naplňování některých předběžných podmínek</w:t>
      </w:r>
    </w:p>
    <w:p w:rsidR="005E4474" w:rsidRDefault="005E4474" w:rsidP="005E4474">
      <w:pPr>
        <w:spacing w:before="0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</w:pPr>
    </w:p>
    <w:p w:rsidR="00146D71" w:rsidRPr="005E4474" w:rsidRDefault="00146D71" w:rsidP="005E4474">
      <w:pPr>
        <w:spacing w:before="0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</w:pPr>
      <w:r w:rsidRPr="005E4474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  <w:t>OPP 4 - Veřejné zakázky</w:t>
      </w:r>
    </w:p>
    <w:p w:rsidR="00146D71" w:rsidRPr="00ED6E5E" w:rsidRDefault="00146D71" w:rsidP="005E4474">
      <w:pPr>
        <w:spacing w:before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(gestor: Ministerstvo pro místní rozvoj)</w:t>
      </w:r>
    </w:p>
    <w:p w:rsidR="00146D71" w:rsidRPr="00ED6E5E" w:rsidRDefault="00146D71" w:rsidP="005E4474">
      <w:pPr>
        <w:numPr>
          <w:ilvl w:val="0"/>
          <w:numId w:val="45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Na jednání Legislativní rady vlády bude </w:t>
      </w:r>
      <w:r w:rsidR="005E44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dne 17. září 2015 předložen </w:t>
      </w:r>
      <w:r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návrh zákona</w:t>
      </w:r>
      <w:r w:rsidR="00D106E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D106ED"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o zadávání veřejných zakázek</w:t>
      </w:r>
      <w:r w:rsidR="005E44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. </w:t>
      </w:r>
      <w:r w:rsidR="00D106E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Po projednání Vládou ČR bude návrh zaslán</w:t>
      </w:r>
      <w:r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PSP ČR</w:t>
      </w:r>
      <w:r w:rsidR="005E44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, </w:t>
      </w:r>
      <w:r w:rsidR="00D106E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první čtení</w:t>
      </w:r>
      <w:r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5E4474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je </w:t>
      </w:r>
      <w:r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očekává</w:t>
      </w:r>
      <w:r w:rsidR="00D106E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no</w:t>
      </w:r>
      <w:r w:rsidRPr="00ED6E5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v říjnu 2015.</w:t>
      </w:r>
    </w:p>
    <w:p w:rsidR="00146D71" w:rsidRPr="00ED6E5E" w:rsidRDefault="00146D71" w:rsidP="005E4474">
      <w:pPr>
        <w:ind w:left="284" w:hanging="284"/>
      </w:pPr>
    </w:p>
    <w:p w:rsidR="0097097E" w:rsidRPr="001414DB" w:rsidRDefault="00146D71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414DB">
        <w:rPr>
          <w:rFonts w:ascii="Arial" w:eastAsia="Times New Roman" w:hAnsi="Arial" w:cs="Arial"/>
          <w:b/>
          <w:sz w:val="20"/>
          <w:szCs w:val="20"/>
          <w:u w:val="single"/>
        </w:rPr>
        <w:t xml:space="preserve">OPP 6 - </w:t>
      </w:r>
      <w:r w:rsidR="0097097E" w:rsidRPr="001414DB">
        <w:rPr>
          <w:rFonts w:ascii="Arial" w:eastAsia="Times New Roman" w:hAnsi="Arial" w:cs="Arial"/>
          <w:b/>
          <w:sz w:val="20"/>
          <w:szCs w:val="20"/>
          <w:u w:val="single"/>
        </w:rPr>
        <w:t>EIA</w:t>
      </w:r>
    </w:p>
    <w:p w:rsidR="0097097E" w:rsidRPr="001414DB" w:rsidRDefault="0097097E" w:rsidP="001414DB">
      <w:pPr>
        <w:keepNext/>
        <w:spacing w:before="0"/>
        <w:rPr>
          <w:rFonts w:ascii="Arial" w:eastAsia="Times New Roman" w:hAnsi="Arial" w:cs="Arial"/>
          <w:sz w:val="20"/>
          <w:szCs w:val="20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Ministerstvo životního prostředí)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 xml:space="preserve">Na základě nesprávné transpozice směrnice EIA vznesla EK požadavek na provedení vyhodnocení projektů, k nimž bylo vydáno stanovisko k posouzení vlivů záměru na životní prostředí podle zákona č. 100/2001 Sb. 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bookmarkStart w:id="12" w:name="_GoBack"/>
      <w:bookmarkEnd w:id="12"/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 xml:space="preserve">Usnesením vlády </w:t>
      </w:r>
      <w:r w:rsidRPr="001414DB">
        <w:rPr>
          <w:rFonts w:ascii="Arial" w:hAnsi="Arial" w:cs="Arial"/>
          <w:sz w:val="20"/>
          <w:szCs w:val="20"/>
        </w:rPr>
        <w:t xml:space="preserve">ČR č. 1078/2014 ze dne 15. prosince 2014 </w:t>
      </w:r>
      <w:r w:rsidRPr="001414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byla ustanovena meziresortní pracovní skupina (MPS EIA) pro vyhodnocení projektů z hlediska souladu jejich povolovacího procesu s požadavky směrnice EIA, která posuzuje dosud neschválené velké projekty, projekty v šetření EU Pilot a 2% vzorek ostatních projektů, u kterých byl proces EIA zahájen po datu přistoupení České republiky k Evropské unii.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>Řídicí orgán OP Doprava obdržel v této souvislosti dne 20. října 2014 od EK dopis přerušující předkládání a schvalování velkých projektů. Ze strany EK bylo poukazováno zřejmé na neexistenci důkazů posuzování projektů a jejich změn v souladu se směrnicí EIA.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</w:rPr>
        <w:t>ČR přislíbila, že do konce června 2015 dokončí přezkum velkých projektů z hlediska jejich souladu se směrnicí EIA a předloží dotčené projekty EK ke schválení.</w:t>
      </w: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 xml:space="preserve"> Tento termín se nepodařilo splnit.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>Ke konci července 2015 byly ze strany MŽP vydány závěry vyhod</w:t>
      </w:r>
      <w:r w:rsidR="005A6E49">
        <w:rPr>
          <w:rFonts w:ascii="Arial" w:hAnsi="Arial" w:cs="Arial"/>
          <w:sz w:val="20"/>
          <w:szCs w:val="20"/>
          <w:bdr w:val="none" w:sz="0" w:space="0" w:color="auto" w:frame="1"/>
        </w:rPr>
        <w:t>nocení změn u 22 z celkových 23 </w:t>
      </w: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>projektů, přičemž u všech již vypršela lhůta pro vyjádření veřejnosti.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>MD předložilo EK k 7. září 2015 celkem 18 projektů.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>Zbývajících 5 projektů by mělo být předloženo v průběhu září 2015.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414DB">
        <w:rPr>
          <w:rFonts w:ascii="Arial" w:hAnsi="Arial" w:cs="Arial"/>
          <w:color w:val="000000"/>
          <w:sz w:val="20"/>
          <w:szCs w:val="20"/>
        </w:rPr>
        <w:t>Aktuálně je na národní úrovni řešen nový požadavek EK, který byl vznesen v přerušujícím dopise k jednomu z již přezkoumaných velkých projektů. EK požaduje doložit dodržování rámcové směrnice o vodě. Naplňování této směrnice nebylo v programovém období 2007–2013 ze strany EK vyžadováno (platí až pro programové období 2014–2020), proto je tento požadavek s ohledem na harmonogram předkládání projektů velmi rizikový. Zároveň ne</w:t>
      </w:r>
      <w:r w:rsidR="001414DB">
        <w:rPr>
          <w:rFonts w:ascii="Arial" w:hAnsi="Arial" w:cs="Arial"/>
          <w:color w:val="000000"/>
          <w:sz w:val="20"/>
          <w:szCs w:val="20"/>
        </w:rPr>
        <w:t>ní vyjasněno, jakým způsobem se </w:t>
      </w:r>
      <w:r w:rsidRPr="001414DB">
        <w:rPr>
          <w:rFonts w:ascii="Arial" w:hAnsi="Arial" w:cs="Arial"/>
          <w:color w:val="000000"/>
          <w:sz w:val="20"/>
          <w:szCs w:val="20"/>
        </w:rPr>
        <w:t>bude prokazovat naplňování této směrnice v programovém období 2014–2020.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>V souvislosti s problematikou EIA jsou řešeny také 2 velké projekty financované z OP Výzkum a vývoj pro inovace (ELI, SUSEN).</w:t>
      </w:r>
      <w:r w:rsidRPr="001414DB">
        <w:rPr>
          <w:rFonts w:ascii="Arial" w:hAnsi="Arial" w:cs="Arial"/>
          <w:sz w:val="20"/>
          <w:szCs w:val="20"/>
        </w:rPr>
        <w:t xml:space="preserve"> EK požaduje i u těchto projektů posouzení, zda je dodržována Směrnice EIA, tzn., aby také tyto projekty byly přezkoumány </w:t>
      </w:r>
      <w:r w:rsidRPr="001414DB">
        <w:rPr>
          <w:rFonts w:ascii="Arial" w:hAnsi="Arial" w:cs="Arial"/>
          <w:color w:val="000000"/>
          <w:sz w:val="20"/>
          <w:szCs w:val="20"/>
        </w:rPr>
        <w:t>MPS EIA.</w:t>
      </w:r>
    </w:p>
    <w:p w:rsidR="005E4474" w:rsidRPr="001414DB" w:rsidRDefault="005E4474" w:rsidP="001414DB">
      <w:pPr>
        <w:numPr>
          <w:ilvl w:val="0"/>
          <w:numId w:val="6"/>
        </w:numPr>
        <w:spacing w:before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  <w:bdr w:val="none" w:sz="0" w:space="0" w:color="auto" w:frame="1"/>
        </w:rPr>
        <w:t xml:space="preserve">Plnění opatření týkající se 2% vzorku projektů, </w:t>
      </w:r>
      <w:r w:rsidRPr="001414D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ke kterým byl proces EIA zahájen po datu přistoupení České republiky k Evropské unii, nabírá rovněž zpoždění. Vzorek projektů byl potvrzen dne 21. července 2015, téměř 4 měsíce po termínu. K přezkumu byly vybrány 4 projekty. Projekty jsou ve fázi přípravy podkladů k přezkumu a zbývá ještě dořešit financování přezkumu projektu spolufinancovaného z ROP Severovýchod.</w:t>
      </w:r>
    </w:p>
    <w:p w:rsidR="0097097E" w:rsidRPr="001414DB" w:rsidRDefault="0097097E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96B10" w:rsidRPr="001414DB" w:rsidRDefault="00E07C52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</w:rPr>
      </w:pPr>
      <w:r w:rsidRPr="001414DB">
        <w:rPr>
          <w:rFonts w:ascii="Arial" w:eastAsia="Times New Roman" w:hAnsi="Arial" w:cs="Arial"/>
          <w:b/>
          <w:sz w:val="20"/>
          <w:szCs w:val="20"/>
          <w:u w:val="single"/>
        </w:rPr>
        <w:t xml:space="preserve">T 1.1 </w:t>
      </w:r>
      <w:r w:rsidR="0005245D" w:rsidRPr="001414DB">
        <w:rPr>
          <w:rFonts w:ascii="Arial" w:eastAsia="Times New Roman" w:hAnsi="Arial" w:cs="Arial"/>
          <w:b/>
          <w:sz w:val="20"/>
          <w:szCs w:val="20"/>
          <w:u w:val="single"/>
        </w:rPr>
        <w:t xml:space="preserve">Výzkum a vývoj - </w:t>
      </w:r>
      <w:r w:rsidRPr="001414DB">
        <w:rPr>
          <w:rFonts w:ascii="Arial" w:eastAsia="Times New Roman" w:hAnsi="Arial" w:cs="Arial"/>
          <w:b/>
          <w:sz w:val="20"/>
          <w:szCs w:val="20"/>
          <w:u w:val="single"/>
        </w:rPr>
        <w:t>Inteligentní specializace</w:t>
      </w:r>
      <w:r w:rsidRPr="001414D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07C52" w:rsidRPr="001414DB" w:rsidRDefault="00E07C52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Úřad vlády ČR)</w:t>
      </w:r>
    </w:p>
    <w:p w:rsidR="00416D66" w:rsidRPr="001414DB" w:rsidRDefault="00E07C52" w:rsidP="001414DB">
      <w:pPr>
        <w:numPr>
          <w:ilvl w:val="0"/>
          <w:numId w:val="6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Na základě připomínek EK k dokumentu </w:t>
      </w:r>
      <w:r w:rsidR="00416D66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byl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dopracován </w:t>
      </w:r>
      <w:r w:rsidR="004B304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a aktualizován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návrh monitorovacích indikátorů Národní výzkumné a inovační strategie pro inteligentní specializaci ČR (Národní RIS3 strategie) a metodika monitorování (vč. popisu role krajských subjektů při monitorování intervencí RIS3), které jsou relevantní pro splnění dané PP</w:t>
      </w:r>
      <w:r w:rsidR="00416D66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v termínu, tedy k 31.</w:t>
      </w:r>
      <w:r w:rsidR="0075484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416D66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květnu 2015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r w:rsidR="004B304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156FB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Metodika monitorování existuje jako samostatný dokument, má se však v souladu s požadavkem EK stát součástí Národní RIS 3 strategie. </w:t>
      </w:r>
      <w:r w:rsidR="004B304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Tímto došlo ke splnění kritéria</w:t>
      </w:r>
      <w:r w:rsidR="000966C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na národní úrovni. Dále bude nutná verifikace EK.</w:t>
      </w:r>
      <w:r w:rsidR="004B304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</w:p>
    <w:p w:rsidR="00ED68AB" w:rsidRPr="001414DB" w:rsidRDefault="00E07C52" w:rsidP="001414DB">
      <w:pPr>
        <w:numPr>
          <w:ilvl w:val="0"/>
          <w:numId w:val="6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Pro potřeby splnění </w:t>
      </w:r>
      <w:r w:rsidR="004B304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dalšího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kritéria dostupného rozpočtu pro výzkum a inovace </w:t>
      </w:r>
      <w:r w:rsidR="00ED68A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probíhá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reviz</w:t>
      </w:r>
      <w:r w:rsidR="00ED68A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zdrojů veřejných rozpočtů na podporu </w:t>
      </w:r>
      <w:proofErr w:type="spellStart"/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VaVaI</w:t>
      </w:r>
      <w:proofErr w:type="spellEnd"/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(národních i</w:t>
      </w:r>
      <w:r w:rsidR="0075484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krajských)</w:t>
      </w:r>
      <w:r w:rsidR="00416D66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. </w:t>
      </w:r>
      <w:r w:rsidR="00ED68A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Ze strany Národního RIS3 manažera se ukazuje jako žádoucí vytvořit metodiku rozpočtování</w:t>
      </w:r>
      <w:r w:rsidR="0058308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nákladů na realizaci RIS3 jako </w:t>
      </w:r>
      <w:r w:rsidR="00ED68A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součást (kapitolu) krajských rozpočtů. Návrh této metodiky byl p</w:t>
      </w:r>
      <w:r w:rsidR="0058308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řipraven v průběhu dubna 2015 a </w:t>
      </w:r>
      <w:r w:rsidR="00ED68A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následně bude představen a diskutován na</w:t>
      </w:r>
      <w:r w:rsidR="0075484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ED68A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jednáních s krajskými RIS3 manažery. </w:t>
      </w:r>
      <w:r w:rsidR="00156FB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Předpokládá se, že části k rozpočtům budou součástí Implementačního plánu RIS 3 i samotné Národní RIS 3 strategie.</w:t>
      </w:r>
    </w:p>
    <w:p w:rsidR="00AA385F" w:rsidRPr="001414DB" w:rsidRDefault="00416D66" w:rsidP="001414DB">
      <w:pPr>
        <w:numPr>
          <w:ilvl w:val="0"/>
          <w:numId w:val="6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</w:t>
      </w:r>
      <w:r w:rsidR="00ED68A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 naplnění </w:t>
      </w:r>
      <w:r w:rsidR="00E07C5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tohoto kritéria dojde dle předpokladu gestora v září 2015.</w:t>
      </w:r>
      <w:r w:rsidR="00156FB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AA385F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EK </w:t>
      </w:r>
      <w:r w:rsidR="00E4543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si </w:t>
      </w:r>
      <w:r w:rsidR="00A3517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 reakci na informace uvedené v rámci </w:t>
      </w:r>
      <w:r w:rsidR="007426F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Čtvrtletní</w:t>
      </w:r>
      <w:r w:rsidR="00A3517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zprávy vyžádala </w:t>
      </w:r>
      <w:r w:rsidR="00B7562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aktuální verzi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RIS</w:t>
      </w:r>
      <w:r w:rsidR="00A3517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3 s</w:t>
      </w:r>
      <w:r w:rsidR="00B7562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trategie</w:t>
      </w:r>
      <w:r w:rsidR="00A3517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r w:rsidR="002A56A3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V tuto chvíli probíhá komunikace s EK.</w:t>
      </w:r>
    </w:p>
    <w:p w:rsidR="00E07C52" w:rsidRPr="001414DB" w:rsidRDefault="00E07C52" w:rsidP="001414DB">
      <w:pPr>
        <w:keepNext/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lastRenderedPageBreak/>
        <w:t>T 2.1</w:t>
      </w:r>
      <w:r w:rsidR="00C35605" w:rsidRPr="001414DB">
        <w:rPr>
          <w:rFonts w:ascii="Arial" w:hAnsi="Arial" w:cs="Arial"/>
          <w:b/>
          <w:sz w:val="20"/>
          <w:szCs w:val="20"/>
          <w:u w:val="single"/>
        </w:rPr>
        <w:t xml:space="preserve"> Digitální růst</w:t>
      </w:r>
      <w:r w:rsidRPr="001414D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07C52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ministerstvo průmyslu a obchodu)</w:t>
      </w:r>
    </w:p>
    <w:p w:rsidR="00C35605" w:rsidRPr="001414DB" w:rsidRDefault="00E07C52" w:rsidP="001414DB">
      <w:pPr>
        <w:numPr>
          <w:ilvl w:val="0"/>
          <w:numId w:val="6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Strategi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digitální gramotnosti ČR na</w:t>
      </w:r>
      <w:r w:rsidR="004C3FD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ED1773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období 2015 -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2020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prošla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v termínu 20. dubna</w:t>
      </w:r>
      <w:r w:rsidR="005515F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90371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až </w:t>
      </w:r>
      <w:r w:rsidR="0058308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5.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58308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května 2015 meziresortním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připomínkovým řízením</w:t>
      </w:r>
      <w:r w:rsidR="000665E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, 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 květnu </w:t>
      </w:r>
      <w:r w:rsidR="00A30B9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2015 proběhlo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vypořádání připomínek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, </w:t>
      </w:r>
      <w:r w:rsidR="000665E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dne 1. července 2015 byl </w:t>
      </w:r>
      <w:r w:rsidR="00C519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dokument </w:t>
      </w:r>
      <w:r w:rsidR="000665E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projednán a schválen vládou ČR</w:t>
      </w:r>
      <w:r w:rsidR="00894C8A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 následně odeslán</w:t>
      </w:r>
      <w:r w:rsidR="00894C8A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k neformální verifikaci EK.</w:t>
      </w:r>
      <w:r w:rsidR="00CE6C7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Nyní </w:t>
      </w:r>
      <w:r w:rsidR="00CE6C7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se očekává obdržení neformální verifikace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dokumentu</w:t>
      </w:r>
      <w:r w:rsidR="00FC323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, </w:t>
      </w:r>
      <w:r w:rsidR="00CE6C7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poté</w:t>
      </w:r>
      <w:r w:rsidR="00FC323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CE6C7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bude 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možné strategii</w:t>
      </w:r>
      <w:r w:rsidR="00FC323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42531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odeslat</w:t>
      </w:r>
      <w:r w:rsidR="00CE6C7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k oficiálnímu posouzení EK prostřednictvím SFC.</w:t>
      </w:r>
      <w:r w:rsidR="000665E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Tímto tedy lze považovat PP 2.1 </w:t>
      </w:r>
      <w:r w:rsidR="00DA779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z pohledu ČR </w:t>
      </w:r>
      <w:r w:rsidR="000665E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za</w:t>
      </w:r>
      <w:r w:rsidR="00DA779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0665E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splněnou</w:t>
      </w:r>
      <w:r w:rsidR="00F9621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(v souladu</w:t>
      </w:r>
      <w:r w:rsidR="000665E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s Akčním plánem k PP s termínem </w:t>
      </w:r>
      <w:r w:rsidR="00ED1773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r w:rsidR="00F9621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30. června 2015)</w:t>
      </w:r>
      <w:r w:rsidR="00DA779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, nicméně je nutná </w:t>
      </w:r>
      <w:r w:rsidR="00894C8A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finální </w:t>
      </w:r>
      <w:r w:rsidR="00DA779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verifikace splnění ze strany EK</w:t>
      </w:r>
      <w:r w:rsidR="00CE6C7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:rsidR="00C35605" w:rsidRPr="001414DB" w:rsidRDefault="00C35605" w:rsidP="001414DB">
      <w:pPr>
        <w:keepNext/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>T 2.2 Digitální růst, Infrastruktura přístupových sítí nové generace</w:t>
      </w:r>
    </w:p>
    <w:p w:rsidR="00C35605" w:rsidRPr="001414DB" w:rsidRDefault="00C35605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ministerstvo průmyslu a obchodu)</w:t>
      </w:r>
    </w:p>
    <w:p w:rsidR="00A80AAE" w:rsidRPr="001414DB" w:rsidRDefault="00E07C52" w:rsidP="005A6E49">
      <w:pPr>
        <w:keepNext/>
        <w:numPr>
          <w:ilvl w:val="0"/>
          <w:numId w:val="6"/>
        </w:numPr>
        <w:spacing w:before="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hAnsi="Arial" w:cs="Arial"/>
          <w:sz w:val="20"/>
          <w:szCs w:val="20"/>
        </w:rPr>
        <w:t xml:space="preserve">Za </w:t>
      </w:r>
      <w:r w:rsidR="00987CED">
        <w:rPr>
          <w:rFonts w:ascii="Arial" w:hAnsi="Arial" w:cs="Arial"/>
          <w:sz w:val="20"/>
          <w:szCs w:val="20"/>
        </w:rPr>
        <w:t xml:space="preserve">jedinou </w:t>
      </w:r>
      <w:r w:rsidRPr="001414DB">
        <w:rPr>
          <w:rFonts w:ascii="Arial" w:hAnsi="Arial" w:cs="Arial"/>
          <w:sz w:val="20"/>
          <w:szCs w:val="20"/>
        </w:rPr>
        <w:t xml:space="preserve">zcela nesplněnou </w:t>
      </w:r>
      <w:r w:rsidR="004C3FDB" w:rsidRPr="001414DB">
        <w:rPr>
          <w:rFonts w:ascii="Arial" w:hAnsi="Arial" w:cs="Arial"/>
          <w:sz w:val="20"/>
          <w:szCs w:val="20"/>
        </w:rPr>
        <w:t>PP</w:t>
      </w:r>
      <w:r w:rsidRPr="001414DB">
        <w:rPr>
          <w:rFonts w:ascii="Arial" w:hAnsi="Arial" w:cs="Arial"/>
          <w:sz w:val="20"/>
          <w:szCs w:val="20"/>
        </w:rPr>
        <w:t xml:space="preserve"> je stále považována </w:t>
      </w:r>
      <w:r w:rsidR="004C3FDB" w:rsidRPr="001414DB">
        <w:rPr>
          <w:rFonts w:ascii="Arial" w:hAnsi="Arial" w:cs="Arial"/>
          <w:sz w:val="20"/>
          <w:szCs w:val="20"/>
        </w:rPr>
        <w:t>PP</w:t>
      </w:r>
      <w:r w:rsidRPr="001414DB">
        <w:rPr>
          <w:rFonts w:ascii="Arial" w:hAnsi="Arial" w:cs="Arial"/>
          <w:sz w:val="20"/>
          <w:szCs w:val="20"/>
        </w:rPr>
        <w:t xml:space="preserve"> 2.2 Infrastruktura přístupových sítí nové generace.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Ke splnění této </w:t>
      </w:r>
      <w:r w:rsidR="004C3FD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PP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5A6E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by mělo dojít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schválením Národního plánu rozvoje sítí nové generace</w:t>
      </w:r>
      <w:r w:rsidR="009C27C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(NPNGN)</w:t>
      </w:r>
      <w:r w:rsidR="005A6E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a případnými dalšími kroky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 V</w:t>
      </w:r>
      <w:r w:rsidR="004C3FD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únoru a březnu 2015 proběhlo vyhodnocení veřejné konzultace, ze které vzešly náměty a</w:t>
      </w:r>
      <w:r w:rsidR="004C3FD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připomínky k dokumentu. Do</w:t>
      </w:r>
      <w:r w:rsidR="00906B78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kument </w:t>
      </w:r>
      <w:r w:rsidR="007A2A9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byl v červnu 201</w:t>
      </w:r>
      <w:r w:rsidR="00371EC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5</w:t>
      </w:r>
      <w:r w:rsidR="001C285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7A2A9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poslán do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meziresortn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í</w:t>
      </w:r>
      <w:r w:rsidR="007A2A9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ho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připomínkov</w:t>
      </w:r>
      <w:r w:rsidR="007A2A9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ého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řízení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7B658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 rámci MPŘ byla k dokumentu uplatněna řada připomínek i s ohledem na naplňování PP. Kromě toho však byl návrh MPO připomínkován ze strany MV, a to v podobě návrhu zcela nové verze dokumentu, což do jisté míry plyne z nově přidělené role národního koordinátora sítí nové generace v ČR (viz i Akční plán pro rozvoj digitálního trhu) a ambice realizovat velké projekty v rámci OP PIK, prioritní osy 4. </w:t>
      </w:r>
      <w:r w:rsidR="00A80AA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Na základě komunikace mezi MPO a MV </w:t>
      </w:r>
      <w:r w:rsidR="00766DF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je</w:t>
      </w:r>
      <w:r w:rsidR="00A80AA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zpra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cová</w:t>
      </w:r>
      <w:r w:rsidR="00766DF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vá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na kompromisní verze NPNGN, která bude </w:t>
      </w:r>
      <w:r w:rsidR="00CC486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podle dostupných informací znovu 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zaslána do nového meziresortního připomínkového řízení. </w:t>
      </w:r>
      <w:r w:rsidR="00CC486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Nedojde-li k významnějším změnám tohoto materiálů oproti verzi, kterou má MMR k dispozici k </w:t>
      </w:r>
      <w:r w:rsidR="0059231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26. srpnu </w:t>
      </w:r>
      <w:r w:rsidR="00CC486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2015, lze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očekávat, že ani tato verze nenaplní dikci kritérií předběžné podmínky</w:t>
      </w:r>
      <w:r w:rsidR="00CC486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. Problematickým se jeví také 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soulad</w:t>
      </w:r>
      <w:r w:rsidR="00EB7811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s obsahovým zaměřením OP PIK </w:t>
      </w:r>
      <w:r w:rsidR="00CC486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 cí</w:t>
      </w:r>
      <w:r w:rsidR="005A6E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li Dohody o Partnerství, kde se </w:t>
      </w:r>
      <w:r w:rsidR="00703786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požadavek </w:t>
      </w:r>
      <w:r w:rsidR="00D4407F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na </w:t>
      </w:r>
      <w:r w:rsidR="00703786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spolufinancování tzv. neveřejných sítí</w:t>
      </w:r>
      <w:r w:rsidR="00CC486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jeví jako nereálný. Očekává se další diskuze 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 rámci procesu MPŘ a na příslušných platformách</w:t>
      </w:r>
      <w:r w:rsidR="00987CE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(např. Výbor pro digitální ekonomiku RVKHR)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a případně na</w:t>
      </w:r>
      <w:r w:rsidR="00D4407F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722CB2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vícestranných jednáních mezi MPO, MV a dalšími aktéry</w:t>
      </w:r>
      <w:r w:rsidR="00CC486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r w:rsidR="00987CE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Přestože MPO indikovalo existenci již 5. verze NPNGN, MMR ji nemá k dispozici.</w:t>
      </w:r>
    </w:p>
    <w:p w:rsidR="00283091" w:rsidRPr="001414DB" w:rsidRDefault="00042924" w:rsidP="001414DB">
      <w:pPr>
        <w:keepNext/>
        <w:numPr>
          <w:ilvl w:val="0"/>
          <w:numId w:val="6"/>
        </w:numPr>
        <w:spacing w:before="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MPO</w:t>
      </w:r>
      <w:r w:rsidR="008E4CE7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B658B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také </w:t>
      </w:r>
      <w:r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indikovalo, že nedojde ke splnění harmonogramu, </w:t>
      </w:r>
      <w:r w:rsidR="00283091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neboť </w:t>
      </w:r>
      <w:r w:rsidR="00F96217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předložení dokumentu vládě ČR a potažmo tedy </w:t>
      </w:r>
      <w:r w:rsidR="00283091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splnění PP se </w:t>
      </w:r>
      <w:r w:rsidR="00BD1B45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nejprve </w:t>
      </w:r>
      <w:r w:rsidR="00283091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plán</w:t>
      </w:r>
      <w:r w:rsidR="00BD1B45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ovalo</w:t>
      </w:r>
      <w:r w:rsidR="00283091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na </w:t>
      </w:r>
      <w:r w:rsidR="00587610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konec</w:t>
      </w:r>
      <w:r w:rsidR="00283091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července 2015</w:t>
      </w:r>
      <w:r w:rsidR="00BD1B45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, n</w:t>
      </w:r>
      <w:r w:rsidR="00587610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icméně </w:t>
      </w:r>
      <w:r w:rsidR="00BD1B45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dochází k dalšímu posunu termínu, a to </w:t>
      </w:r>
      <w:r w:rsidR="00CC4860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minimálně </w:t>
      </w:r>
      <w:r w:rsidR="00BD1B45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na září 2015</w:t>
      </w:r>
      <w:r w:rsidR="005E4474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, což je i </w:t>
      </w:r>
      <w:r w:rsid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s ohledem na </w:t>
      </w:r>
      <w:r w:rsidR="00766DF7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problém zmíněný výše nerealistický termín</w:t>
      </w:r>
      <w:r w:rsidR="00BD1B45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. 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MPO bylo vyzváno k nutné aktualizaci Akčního plánu a zároveň k řádné komunikaci </w:t>
      </w:r>
      <w:r w:rsidR="0002206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ohledně vyjasnění </w:t>
      </w:r>
      <w:r w:rsidR="008A2B3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</w:t>
      </w:r>
      <w:r w:rsidR="00D4407F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8A2B3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odsouhlasení </w:t>
      </w:r>
      <w:r w:rsidR="0002206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posunu termínů 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</w:t>
      </w:r>
      <w:r w:rsidR="009C27C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BD1B4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EK</w:t>
      </w:r>
      <w:r w:rsidR="0002206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:rsidR="00E07C52" w:rsidRPr="001414DB" w:rsidRDefault="00E07C52" w:rsidP="001414DB">
      <w:pPr>
        <w:keepNext/>
        <w:spacing w:before="240"/>
        <w:ind w:left="69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 xml:space="preserve">T 3.1 a 8.2 </w:t>
      </w:r>
      <w:r w:rsidR="00A44210" w:rsidRPr="001414DB">
        <w:rPr>
          <w:rFonts w:ascii="Arial" w:hAnsi="Arial" w:cs="Arial"/>
          <w:b/>
          <w:sz w:val="20"/>
          <w:szCs w:val="20"/>
          <w:u w:val="single"/>
        </w:rPr>
        <w:t>Podpora podnikání (SBA), Samostatná výdělečná činnost, podnikání a zakládání firem</w:t>
      </w:r>
    </w:p>
    <w:p w:rsidR="00E07C52" w:rsidRPr="001414DB" w:rsidRDefault="00E07C52" w:rsidP="001414DB">
      <w:pPr>
        <w:pStyle w:val="TextNOK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(gestor: ministerstvo spravedlnosti)</w:t>
      </w:r>
    </w:p>
    <w:p w:rsidR="00E07C52" w:rsidRPr="001414DB" w:rsidRDefault="00E07C52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Ministerstvo </w:t>
      </w:r>
      <w:r w:rsidR="001414DB">
        <w:rPr>
          <w:rFonts w:ascii="Arial" w:hAnsi="Arial" w:cs="Arial"/>
          <w:sz w:val="20"/>
          <w:szCs w:val="20"/>
        </w:rPr>
        <w:t xml:space="preserve">spravedlnosti </w:t>
      </w:r>
      <w:r w:rsidRPr="001414DB">
        <w:rPr>
          <w:rFonts w:ascii="Arial" w:hAnsi="Arial" w:cs="Arial"/>
          <w:sz w:val="20"/>
          <w:szCs w:val="20"/>
        </w:rPr>
        <w:t>připravilo legislativn</w:t>
      </w:r>
      <w:r w:rsidR="00906B78" w:rsidRPr="001414DB">
        <w:rPr>
          <w:rFonts w:ascii="Arial" w:hAnsi="Arial" w:cs="Arial"/>
          <w:sz w:val="20"/>
          <w:szCs w:val="20"/>
        </w:rPr>
        <w:t>ě-technickou změnu směřující ke </w:t>
      </w:r>
      <w:r w:rsidRPr="001414DB">
        <w:rPr>
          <w:rFonts w:ascii="Arial" w:hAnsi="Arial" w:cs="Arial"/>
          <w:sz w:val="20"/>
          <w:szCs w:val="20"/>
        </w:rPr>
        <w:t>splnění požadavku na snížení nákladů nutných k založení podniku na 100 EUR.</w:t>
      </w:r>
    </w:p>
    <w:p w:rsidR="00E07C52" w:rsidRPr="001414DB" w:rsidRDefault="00E07C52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V novele je nově zapracováno osvobození od soudního poplatku v souvislosti se založením podniku v souladu s Akčním plánem pro tematické předběžné podmínky 3.1 a 8.2. V návrhu novely vyhlášky je uvedena odměna notáře (což představuje jedinou položku pro založení podniku) ve výši 2 000 Kč, což souhlasí s podmínkou snížení nákladů nutných k založení podniku do 100 EUR. </w:t>
      </w:r>
    </w:p>
    <w:p w:rsidR="00B725C7" w:rsidRPr="003C0BAA" w:rsidRDefault="00B725C7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b/>
          <w:sz w:val="20"/>
          <w:szCs w:val="20"/>
        </w:rPr>
        <w:t xml:space="preserve">Novela návrhu zákona byla dne 18. května 2015 projednána a schválena vládou. </w:t>
      </w:r>
      <w:r w:rsidR="001414DB">
        <w:rPr>
          <w:rFonts w:ascii="Arial" w:hAnsi="Arial" w:cs="Arial"/>
          <w:b/>
          <w:sz w:val="20"/>
          <w:szCs w:val="20"/>
        </w:rPr>
        <w:br/>
      </w:r>
      <w:r w:rsidRPr="001414DB">
        <w:rPr>
          <w:rFonts w:ascii="Arial" w:hAnsi="Arial" w:cs="Arial"/>
          <w:b/>
          <w:sz w:val="20"/>
          <w:szCs w:val="20"/>
        </w:rPr>
        <w:t>Dne 27. května 2015 byl návrh zákona zaslán k podpisu předsedovi vlády.</w:t>
      </w:r>
      <w:r w:rsidR="008A2B30" w:rsidRPr="001414DB">
        <w:rPr>
          <w:rFonts w:ascii="Arial" w:eastAsia="Arial Unicode MS" w:hAnsi="Arial" w:cs="Arial"/>
          <w:sz w:val="20"/>
          <w:szCs w:val="20"/>
        </w:rPr>
        <w:t xml:space="preserve"> </w:t>
      </w:r>
      <w:r w:rsidR="00627DEA" w:rsidRPr="001414DB">
        <w:rPr>
          <w:rFonts w:ascii="Arial" w:eastAsia="Arial Unicode MS" w:hAnsi="Arial" w:cs="Arial"/>
          <w:sz w:val="20"/>
          <w:szCs w:val="20"/>
        </w:rPr>
        <w:t xml:space="preserve">Dne </w:t>
      </w:r>
      <w:r w:rsidR="008A2B30" w:rsidRPr="001414DB">
        <w:rPr>
          <w:rFonts w:ascii="Arial" w:eastAsia="Arial Unicode MS" w:hAnsi="Arial" w:cs="Arial"/>
          <w:sz w:val="20"/>
          <w:szCs w:val="20"/>
        </w:rPr>
        <w:t>7</w:t>
      </w:r>
      <w:r w:rsidR="00627DEA" w:rsidRPr="001414DB">
        <w:rPr>
          <w:rFonts w:ascii="Arial" w:eastAsia="Arial Unicode MS" w:hAnsi="Arial" w:cs="Arial"/>
          <w:sz w:val="20"/>
          <w:szCs w:val="20"/>
        </w:rPr>
        <w:t xml:space="preserve">. </w:t>
      </w:r>
      <w:r w:rsidR="008A2B30" w:rsidRPr="001414DB">
        <w:rPr>
          <w:rFonts w:ascii="Arial" w:eastAsia="Arial Unicode MS" w:hAnsi="Arial" w:cs="Arial"/>
          <w:sz w:val="20"/>
          <w:szCs w:val="20"/>
        </w:rPr>
        <w:t xml:space="preserve">července 2015 byla </w:t>
      </w:r>
      <w:r w:rsidR="00627DEA" w:rsidRPr="001414DB">
        <w:rPr>
          <w:rFonts w:ascii="Arial" w:eastAsia="Arial Unicode MS" w:hAnsi="Arial" w:cs="Arial"/>
          <w:sz w:val="20"/>
          <w:szCs w:val="20"/>
        </w:rPr>
        <w:t xml:space="preserve">novela </w:t>
      </w:r>
      <w:r w:rsidR="008A2B30" w:rsidRPr="001414DB">
        <w:rPr>
          <w:rFonts w:ascii="Arial" w:eastAsia="Calibri" w:hAnsi="Arial" w:cs="Arial"/>
          <w:sz w:val="20"/>
          <w:szCs w:val="20"/>
        </w:rPr>
        <w:t>zařazen</w:t>
      </w:r>
      <w:r w:rsidR="00627DEA" w:rsidRPr="001414DB">
        <w:rPr>
          <w:rFonts w:ascii="Arial" w:eastAsia="Calibri" w:hAnsi="Arial" w:cs="Arial"/>
          <w:sz w:val="20"/>
          <w:szCs w:val="20"/>
        </w:rPr>
        <w:t>a</w:t>
      </w:r>
      <w:r w:rsidR="008A2B30" w:rsidRPr="001414DB">
        <w:rPr>
          <w:rFonts w:ascii="Arial" w:eastAsia="Calibri" w:hAnsi="Arial" w:cs="Arial"/>
          <w:sz w:val="20"/>
          <w:szCs w:val="20"/>
        </w:rPr>
        <w:t xml:space="preserve"> do prvního čtení v Poslanecké sněmovně </w:t>
      </w:r>
      <w:r w:rsidR="00146D71" w:rsidRPr="001414DB">
        <w:rPr>
          <w:rFonts w:ascii="Arial" w:eastAsia="Calibri" w:hAnsi="Arial" w:cs="Arial"/>
          <w:sz w:val="20"/>
          <w:szCs w:val="20"/>
        </w:rPr>
        <w:t>(sněmovní tisk 497)</w:t>
      </w:r>
      <w:r w:rsidR="0028021C" w:rsidRPr="001414DB">
        <w:rPr>
          <w:rFonts w:ascii="Arial" w:eastAsia="Calibri" w:hAnsi="Arial" w:cs="Arial"/>
          <w:sz w:val="20"/>
          <w:szCs w:val="20"/>
        </w:rPr>
        <w:t>. N</w:t>
      </w:r>
      <w:r w:rsidR="00627DEA" w:rsidRPr="001414DB">
        <w:rPr>
          <w:rFonts w:ascii="Arial" w:eastAsia="Calibri" w:hAnsi="Arial" w:cs="Arial"/>
          <w:sz w:val="20"/>
          <w:szCs w:val="20"/>
        </w:rPr>
        <w:t xml:space="preserve">ásledně </w:t>
      </w:r>
      <w:r w:rsidR="008A2B30">
        <w:rPr>
          <w:rFonts w:ascii="Arial" w:eastAsia="Arial Unicode MS" w:hAnsi="Arial" w:cs="Arial"/>
          <w:sz w:val="20"/>
          <w:szCs w:val="20"/>
        </w:rPr>
        <w:t xml:space="preserve">předložena </w:t>
      </w:r>
      <w:r w:rsidR="008A2B30" w:rsidRPr="008A2B30">
        <w:rPr>
          <w:rFonts w:ascii="Arial" w:eastAsia="Arial Unicode MS" w:hAnsi="Arial" w:cs="Arial"/>
          <w:sz w:val="20"/>
          <w:szCs w:val="20"/>
        </w:rPr>
        <w:t>k </w:t>
      </w:r>
      <w:r w:rsidR="008A2B30" w:rsidRPr="00A50C3A">
        <w:rPr>
          <w:rFonts w:ascii="Arial" w:eastAsia="Calibri" w:hAnsi="Arial" w:cs="Arial"/>
          <w:sz w:val="20"/>
          <w:szCs w:val="20"/>
        </w:rPr>
        <w:t xml:space="preserve">projednání </w:t>
      </w:r>
      <w:r w:rsidR="0028021C">
        <w:rPr>
          <w:rFonts w:ascii="Arial" w:eastAsia="Calibri" w:hAnsi="Arial" w:cs="Arial"/>
          <w:sz w:val="20"/>
          <w:szCs w:val="20"/>
        </w:rPr>
        <w:t>Ú</w:t>
      </w:r>
      <w:r w:rsidR="00A50C3A" w:rsidRPr="00A50C3A">
        <w:rPr>
          <w:rFonts w:ascii="Arial" w:eastAsia="Calibri" w:hAnsi="Arial" w:cs="Arial"/>
          <w:sz w:val="20"/>
          <w:szCs w:val="20"/>
        </w:rPr>
        <w:t>stavně právnímu výboru</w:t>
      </w:r>
      <w:r w:rsidR="005E4474">
        <w:rPr>
          <w:rFonts w:ascii="Arial" w:eastAsia="Calibri" w:hAnsi="Arial" w:cs="Arial"/>
          <w:sz w:val="20"/>
          <w:szCs w:val="20"/>
        </w:rPr>
        <w:t xml:space="preserve"> dne 8. září 2015. </w:t>
      </w:r>
      <w:r w:rsidR="0028021C">
        <w:rPr>
          <w:rFonts w:ascii="Arial" w:eastAsia="Calibri" w:hAnsi="Arial" w:cs="Arial"/>
          <w:sz w:val="20"/>
          <w:szCs w:val="20"/>
        </w:rPr>
        <w:t>Ústavně p</w:t>
      </w:r>
      <w:r w:rsidR="005E4474">
        <w:rPr>
          <w:rFonts w:ascii="Arial" w:eastAsia="Calibri" w:hAnsi="Arial" w:cs="Arial"/>
          <w:sz w:val="20"/>
          <w:szCs w:val="20"/>
        </w:rPr>
        <w:t>rávní</w:t>
      </w:r>
      <w:r w:rsidR="0028021C">
        <w:rPr>
          <w:rFonts w:ascii="Arial" w:eastAsia="Calibri" w:hAnsi="Arial" w:cs="Arial"/>
          <w:sz w:val="20"/>
          <w:szCs w:val="20"/>
        </w:rPr>
        <w:t xml:space="preserve"> výbor </w:t>
      </w:r>
      <w:r w:rsidR="005E4474">
        <w:rPr>
          <w:rFonts w:ascii="Arial" w:eastAsia="Calibri" w:hAnsi="Arial" w:cs="Arial"/>
          <w:sz w:val="20"/>
          <w:szCs w:val="20"/>
        </w:rPr>
        <w:t xml:space="preserve">novelu </w:t>
      </w:r>
      <w:r w:rsidR="0028021C">
        <w:rPr>
          <w:rFonts w:ascii="Arial" w:eastAsia="Calibri" w:hAnsi="Arial" w:cs="Arial"/>
          <w:sz w:val="20"/>
          <w:szCs w:val="20"/>
        </w:rPr>
        <w:t xml:space="preserve">schválil a doporučil do druhého čtení, které by se mělo uskutečnit v rámci 31. schůze PSP ČR dne 17. září 2015.  </w:t>
      </w:r>
    </w:p>
    <w:p w:rsidR="00EB7811" w:rsidRPr="001414DB" w:rsidRDefault="00E07C52" w:rsidP="001414DB">
      <w:pPr>
        <w:pStyle w:val="TextNOK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lastRenderedPageBreak/>
        <w:t xml:space="preserve">Novela nabyde účinnosti 15. dnem po vyhlášení zákona ve Sbírce zákonů, což by mělo nastat v průběhu října 2015. </w:t>
      </w:r>
      <w:r w:rsidRPr="001414DB">
        <w:rPr>
          <w:rFonts w:ascii="Arial" w:hAnsi="Arial" w:cs="Arial"/>
          <w:b/>
          <w:sz w:val="20"/>
          <w:szCs w:val="20"/>
        </w:rPr>
        <w:t>Aktuálně hrozí, že vlivem procesu schvalování bude termín nabytí účinnosti s největší pravděpodobností posunut</w:t>
      </w:r>
      <w:r w:rsidR="00906B78" w:rsidRPr="001414DB">
        <w:rPr>
          <w:rFonts w:ascii="Arial" w:hAnsi="Arial" w:cs="Arial"/>
          <w:b/>
          <w:sz w:val="20"/>
          <w:szCs w:val="20"/>
        </w:rPr>
        <w:t xml:space="preserve"> s ohledem na </w:t>
      </w:r>
      <w:r w:rsidR="000A06F9" w:rsidRPr="001414DB">
        <w:rPr>
          <w:rFonts w:ascii="Arial" w:hAnsi="Arial" w:cs="Arial"/>
          <w:b/>
          <w:sz w:val="20"/>
          <w:szCs w:val="20"/>
        </w:rPr>
        <w:t>dosavadní průběh legislativního procesu</w:t>
      </w:r>
      <w:r w:rsidRPr="001414DB">
        <w:rPr>
          <w:rFonts w:ascii="Arial" w:hAnsi="Arial" w:cs="Arial"/>
          <w:b/>
          <w:sz w:val="20"/>
          <w:szCs w:val="20"/>
        </w:rPr>
        <w:t>.</w:t>
      </w:r>
    </w:p>
    <w:p w:rsidR="00EB7811" w:rsidRPr="001414DB" w:rsidRDefault="00EB7811" w:rsidP="001414DB">
      <w:pPr>
        <w:pStyle w:val="TextNOK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B7811" w:rsidRPr="001414DB" w:rsidRDefault="00E07C52" w:rsidP="001414DB">
      <w:pPr>
        <w:pStyle w:val="TextNOK"/>
        <w:spacing w:line="276" w:lineRule="auto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>T 4.1 Energetická účinnost</w:t>
      </w:r>
      <w:r w:rsidRPr="001414DB">
        <w:rPr>
          <w:rFonts w:ascii="Arial" w:hAnsi="Arial" w:cs="Arial"/>
          <w:b/>
          <w:sz w:val="20"/>
          <w:szCs w:val="20"/>
        </w:rPr>
        <w:t xml:space="preserve"> </w:t>
      </w:r>
    </w:p>
    <w:p w:rsidR="00EB7811" w:rsidRPr="001414DB" w:rsidRDefault="00E07C52" w:rsidP="001414DB">
      <w:pPr>
        <w:pStyle w:val="TextNOK"/>
        <w:spacing w:line="276" w:lineRule="auto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(gestor: ministerstvo průmyslu a obchodu)</w:t>
      </w:r>
    </w:p>
    <w:p w:rsidR="00EB7811" w:rsidRPr="001414DB" w:rsidRDefault="00F45708" w:rsidP="001414DB">
      <w:pPr>
        <w:pStyle w:val="TextNOK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Došlo k posunu termínu přislíbeného v </w:t>
      </w:r>
      <w:r w:rsidR="007426F4" w:rsidRPr="001414DB">
        <w:rPr>
          <w:rFonts w:ascii="Arial" w:hAnsi="Arial" w:cs="Arial"/>
          <w:sz w:val="20"/>
          <w:szCs w:val="20"/>
        </w:rPr>
        <w:t xml:space="preserve"> Akčním</w:t>
      </w:r>
      <w:r w:rsidRPr="001414DB">
        <w:rPr>
          <w:rFonts w:ascii="Arial" w:hAnsi="Arial" w:cs="Arial"/>
          <w:sz w:val="20"/>
          <w:szCs w:val="20"/>
        </w:rPr>
        <w:t xml:space="preserve"> plánu k předběžné podmínce 4.1</w:t>
      </w:r>
      <w:r w:rsidR="00B75627" w:rsidRPr="001414DB">
        <w:rPr>
          <w:rFonts w:ascii="Arial" w:hAnsi="Arial" w:cs="Arial"/>
          <w:sz w:val="20"/>
          <w:szCs w:val="20"/>
        </w:rPr>
        <w:t xml:space="preserve">, který byl EK verifikován </w:t>
      </w:r>
      <w:r w:rsidR="00AC10A2" w:rsidRPr="001414DB">
        <w:rPr>
          <w:rFonts w:ascii="Arial" w:hAnsi="Arial" w:cs="Arial"/>
          <w:sz w:val="20"/>
          <w:szCs w:val="20"/>
        </w:rPr>
        <w:t xml:space="preserve">v rámci procesu schvalování operačních programů </w:t>
      </w:r>
      <w:r w:rsidRPr="001414DB">
        <w:rPr>
          <w:rFonts w:ascii="Arial" w:hAnsi="Arial" w:cs="Arial"/>
          <w:sz w:val="20"/>
          <w:szCs w:val="20"/>
        </w:rPr>
        <w:t xml:space="preserve">(z 1. července 2015 na 1. ledna </w:t>
      </w:r>
      <w:r w:rsidRPr="001414DB">
        <w:rPr>
          <w:rFonts w:ascii="Arial" w:eastAsia="Calibri" w:hAnsi="Arial" w:cs="Arial"/>
          <w:sz w:val="20"/>
          <w:szCs w:val="20"/>
        </w:rPr>
        <w:t>2016, kdy nabyde účinnosti novela zákona č. 458/2000 Sb. a novela vyhlášky č. 78/2013 Sb.), což potencionálně může být problém pro pět programů, které tuto PP aplikují. MPO zpracovalo v této věci aktualizaci Akčního plánu a připravilo zdůvodnění pro EK, proč došlo k posunu nabytí účinnosti</w:t>
      </w:r>
      <w:r w:rsidR="00B75627" w:rsidRPr="001414DB">
        <w:rPr>
          <w:rFonts w:ascii="Arial" w:eastAsia="Calibri" w:hAnsi="Arial" w:cs="Arial"/>
          <w:sz w:val="20"/>
          <w:szCs w:val="20"/>
        </w:rPr>
        <w:t xml:space="preserve"> novel</w:t>
      </w:r>
      <w:r w:rsidRPr="001414DB">
        <w:rPr>
          <w:rFonts w:ascii="Arial" w:eastAsia="Calibri" w:hAnsi="Arial" w:cs="Arial"/>
          <w:sz w:val="20"/>
          <w:szCs w:val="20"/>
        </w:rPr>
        <w:t xml:space="preserve">, tj. porušení Akčního plánu. </w:t>
      </w:r>
    </w:p>
    <w:p w:rsidR="00C41049" w:rsidRPr="001414DB" w:rsidRDefault="00F45708" w:rsidP="001414DB">
      <w:pPr>
        <w:pStyle w:val="TextNOK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eastAsia="Calibri" w:hAnsi="Arial" w:cs="Arial"/>
          <w:sz w:val="20"/>
          <w:szCs w:val="20"/>
        </w:rPr>
        <w:t xml:space="preserve">Byla přijata novela zákona č. 406/2000 Sb., o hospodaření energií, která je platná od 4. 5. 2015 s účinností od 1. 7. 2015 (zákon číslo 103/2015 Sb.) a novela zákona č. 458/2000Sb., </w:t>
      </w:r>
      <w:r w:rsidR="001414DB">
        <w:rPr>
          <w:rFonts w:ascii="Arial" w:eastAsia="Calibri" w:hAnsi="Arial" w:cs="Arial"/>
          <w:sz w:val="20"/>
          <w:szCs w:val="20"/>
        </w:rPr>
        <w:br/>
      </w:r>
      <w:r w:rsidRPr="001414DB">
        <w:rPr>
          <w:rFonts w:ascii="Arial" w:eastAsia="Calibri" w:hAnsi="Arial" w:cs="Arial"/>
          <w:sz w:val="20"/>
          <w:szCs w:val="20"/>
        </w:rPr>
        <w:t>tzn. energetického zákona, která byla podepsána prez</w:t>
      </w:r>
      <w:r w:rsidR="00BE3D6F" w:rsidRPr="001414DB">
        <w:rPr>
          <w:rFonts w:ascii="Arial" w:eastAsia="Calibri" w:hAnsi="Arial" w:cs="Arial"/>
          <w:sz w:val="20"/>
          <w:szCs w:val="20"/>
        </w:rPr>
        <w:t xml:space="preserve">identem s účinností 1. 1. 2016. </w:t>
      </w:r>
      <w:r w:rsidRPr="001414DB">
        <w:rPr>
          <w:rFonts w:ascii="Arial" w:eastAsia="Calibri" w:hAnsi="Arial" w:cs="Arial"/>
          <w:sz w:val="20"/>
          <w:szCs w:val="20"/>
        </w:rPr>
        <w:t>Přijaté legislativní akty byly zaslány EK k verifikaci.</w:t>
      </w:r>
      <w:r w:rsidR="00BE3D6F" w:rsidRPr="001414DB">
        <w:rPr>
          <w:rFonts w:ascii="Arial" w:eastAsia="Calibri" w:hAnsi="Arial" w:cs="Arial"/>
          <w:sz w:val="20"/>
          <w:szCs w:val="20"/>
        </w:rPr>
        <w:t xml:space="preserve"> Tímto lze te</w:t>
      </w:r>
      <w:r w:rsidR="0090371E" w:rsidRPr="001414DB">
        <w:rPr>
          <w:rFonts w:ascii="Arial" w:eastAsia="Calibri" w:hAnsi="Arial" w:cs="Arial"/>
          <w:sz w:val="20"/>
          <w:szCs w:val="20"/>
        </w:rPr>
        <w:t>dy považovat PP ze strany ČR za </w:t>
      </w:r>
      <w:r w:rsidR="00BE3D6F" w:rsidRPr="001414DB">
        <w:rPr>
          <w:rFonts w:ascii="Arial" w:eastAsia="Calibri" w:hAnsi="Arial" w:cs="Arial"/>
          <w:sz w:val="20"/>
          <w:szCs w:val="20"/>
        </w:rPr>
        <w:t xml:space="preserve">částečně splněnou. </w:t>
      </w:r>
      <w:r w:rsidRPr="001414DB">
        <w:rPr>
          <w:rFonts w:ascii="Arial" w:eastAsia="Calibri" w:hAnsi="Arial" w:cs="Arial"/>
          <w:sz w:val="20"/>
          <w:szCs w:val="20"/>
        </w:rPr>
        <w:t xml:space="preserve">Na </w:t>
      </w:r>
      <w:r w:rsidR="007426F4" w:rsidRPr="001414DB">
        <w:rPr>
          <w:rFonts w:ascii="Arial" w:eastAsia="Calibri" w:hAnsi="Arial" w:cs="Arial"/>
          <w:sz w:val="20"/>
          <w:szCs w:val="20"/>
        </w:rPr>
        <w:t>základě informací uvedených ve Čtvrtletní</w:t>
      </w:r>
      <w:r w:rsidRPr="001414DB">
        <w:rPr>
          <w:rFonts w:ascii="Arial" w:eastAsia="Calibri" w:hAnsi="Arial" w:cs="Arial"/>
          <w:sz w:val="20"/>
          <w:szCs w:val="20"/>
        </w:rPr>
        <w:t xml:space="preserve"> zprávě EK </w:t>
      </w:r>
      <w:r w:rsidR="00BE3D6F" w:rsidRPr="001414DB">
        <w:rPr>
          <w:rFonts w:ascii="Arial" w:eastAsia="Calibri" w:hAnsi="Arial" w:cs="Arial"/>
          <w:sz w:val="20"/>
          <w:szCs w:val="20"/>
        </w:rPr>
        <w:t xml:space="preserve">však </w:t>
      </w:r>
      <w:r w:rsidRPr="001414DB">
        <w:rPr>
          <w:rFonts w:ascii="Arial" w:eastAsia="Calibri" w:hAnsi="Arial" w:cs="Arial"/>
          <w:sz w:val="20"/>
          <w:szCs w:val="20"/>
        </w:rPr>
        <w:t xml:space="preserve">vyjádřila nesouhlas s deklarovaným částečným plněním z důvodu stále probíhajících </w:t>
      </w:r>
      <w:proofErr w:type="spellStart"/>
      <w:r w:rsidRPr="001414DB">
        <w:rPr>
          <w:rFonts w:ascii="Arial" w:eastAsia="Calibri" w:hAnsi="Arial" w:cs="Arial"/>
          <w:sz w:val="20"/>
          <w:szCs w:val="20"/>
        </w:rPr>
        <w:t>infringmentových</w:t>
      </w:r>
      <w:proofErr w:type="spellEnd"/>
      <w:r w:rsidRPr="001414DB">
        <w:rPr>
          <w:rFonts w:ascii="Arial" w:eastAsia="Calibri" w:hAnsi="Arial" w:cs="Arial"/>
          <w:sz w:val="20"/>
          <w:szCs w:val="20"/>
        </w:rPr>
        <w:t xml:space="preserve"> </w:t>
      </w:r>
      <w:r w:rsidRPr="001414DB">
        <w:rPr>
          <w:rFonts w:ascii="Arial" w:hAnsi="Arial" w:cs="Arial"/>
          <w:sz w:val="20"/>
          <w:szCs w:val="20"/>
        </w:rPr>
        <w:t>řízení o porušení práva EU ve věci implementace směrnic 2012/27/EU a 2010/31/EU</w:t>
      </w:r>
      <w:r w:rsidR="0090371E" w:rsidRPr="001414DB">
        <w:rPr>
          <w:rFonts w:ascii="Arial" w:hAnsi="Arial" w:cs="Arial"/>
          <w:sz w:val="20"/>
          <w:szCs w:val="20"/>
        </w:rPr>
        <w:t xml:space="preserve"> a </w:t>
      </w:r>
      <w:r w:rsidR="00BE3D6F" w:rsidRPr="001414DB">
        <w:rPr>
          <w:rFonts w:ascii="Arial" w:hAnsi="Arial" w:cs="Arial"/>
          <w:sz w:val="20"/>
          <w:szCs w:val="20"/>
        </w:rPr>
        <w:t>neu</w:t>
      </w:r>
      <w:r w:rsidRPr="001414DB">
        <w:rPr>
          <w:rFonts w:ascii="Arial" w:hAnsi="Arial" w:cs="Arial"/>
          <w:sz w:val="20"/>
          <w:szCs w:val="20"/>
        </w:rPr>
        <w:t>končené</w:t>
      </w:r>
      <w:r w:rsidR="004F4E3D" w:rsidRPr="001414DB">
        <w:rPr>
          <w:rFonts w:ascii="Arial" w:hAnsi="Arial" w:cs="Arial"/>
          <w:sz w:val="20"/>
          <w:szCs w:val="20"/>
        </w:rPr>
        <w:t xml:space="preserve"> </w:t>
      </w:r>
      <w:r w:rsidR="001557A4" w:rsidRPr="001414DB">
        <w:rPr>
          <w:rFonts w:ascii="Arial" w:hAnsi="Arial" w:cs="Arial"/>
          <w:sz w:val="20"/>
          <w:szCs w:val="20"/>
        </w:rPr>
        <w:t>notifikace relevantní legislativy</w:t>
      </w:r>
      <w:r w:rsidRPr="001414DB">
        <w:rPr>
          <w:rFonts w:ascii="Arial" w:hAnsi="Arial" w:cs="Arial"/>
          <w:sz w:val="20"/>
          <w:szCs w:val="20"/>
        </w:rPr>
        <w:t>. Na základě výše uvedeného EK považuje tuto PP stále za nesplněnou.</w:t>
      </w:r>
      <w:r w:rsidR="00D573D6" w:rsidRPr="001414DB">
        <w:rPr>
          <w:rFonts w:ascii="Arial" w:hAnsi="Arial" w:cs="Arial"/>
          <w:sz w:val="20"/>
          <w:szCs w:val="20"/>
        </w:rPr>
        <w:t xml:space="preserve"> Nicméně </w:t>
      </w:r>
      <w:r w:rsidR="00524824" w:rsidRPr="001414DB">
        <w:rPr>
          <w:rFonts w:ascii="Arial" w:hAnsi="Arial" w:cs="Arial"/>
          <w:sz w:val="20"/>
          <w:szCs w:val="20"/>
        </w:rPr>
        <w:t xml:space="preserve">je </w:t>
      </w:r>
      <w:r w:rsidR="00D573D6" w:rsidRPr="001414DB">
        <w:rPr>
          <w:rFonts w:ascii="Arial" w:hAnsi="Arial" w:cs="Arial"/>
          <w:sz w:val="20"/>
          <w:szCs w:val="20"/>
        </w:rPr>
        <w:t>na národní úrovni PP dále považována za částečně splněnou</w:t>
      </w:r>
      <w:r w:rsidR="00D573D6" w:rsidRPr="001414DB">
        <w:rPr>
          <w:rFonts w:ascii="Arial" w:eastAsia="Arial Unicode MS" w:hAnsi="Arial" w:cs="Arial"/>
          <w:sz w:val="20"/>
          <w:szCs w:val="20"/>
        </w:rPr>
        <w:t>.</w:t>
      </w:r>
    </w:p>
    <w:p w:rsidR="00907327" w:rsidRPr="001414DB" w:rsidRDefault="00B75627" w:rsidP="001414DB">
      <w:pPr>
        <w:pStyle w:val="TextNOK"/>
        <w:keepNext/>
        <w:numPr>
          <w:ilvl w:val="0"/>
          <w:numId w:val="23"/>
        </w:numPr>
        <w:spacing w:before="0" w:after="0" w:line="276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1414DB">
        <w:rPr>
          <w:rFonts w:ascii="Arial" w:eastAsia="Calibri" w:hAnsi="Arial" w:cs="Arial"/>
          <w:sz w:val="20"/>
          <w:szCs w:val="20"/>
        </w:rPr>
        <w:t xml:space="preserve">EK v rámci reakce na </w:t>
      </w:r>
      <w:r w:rsidR="007426F4" w:rsidRPr="001414DB">
        <w:rPr>
          <w:rFonts w:ascii="Arial" w:eastAsia="Calibri" w:hAnsi="Arial" w:cs="Arial"/>
          <w:sz w:val="20"/>
          <w:szCs w:val="20"/>
        </w:rPr>
        <w:t>Čtvrtletní</w:t>
      </w:r>
      <w:r w:rsidRPr="001414DB">
        <w:rPr>
          <w:rFonts w:ascii="Arial" w:eastAsia="Calibri" w:hAnsi="Arial" w:cs="Arial"/>
          <w:sz w:val="20"/>
          <w:szCs w:val="20"/>
        </w:rPr>
        <w:t xml:space="preserve"> zprávu</w:t>
      </w:r>
      <w:r w:rsidR="0042531B" w:rsidRPr="001414DB">
        <w:rPr>
          <w:rFonts w:ascii="Arial" w:eastAsia="Calibri" w:hAnsi="Arial" w:cs="Arial"/>
          <w:sz w:val="20"/>
          <w:szCs w:val="20"/>
        </w:rPr>
        <w:t xml:space="preserve"> dále vyzvala zástupce MPO k</w:t>
      </w:r>
      <w:r w:rsidRPr="001414DB">
        <w:rPr>
          <w:rFonts w:ascii="Arial" w:eastAsia="Calibri" w:hAnsi="Arial" w:cs="Arial"/>
          <w:sz w:val="20"/>
          <w:szCs w:val="20"/>
        </w:rPr>
        <w:t xml:space="preserve"> zaslání vyjádření ohledně změny národního indikativního cíl</w:t>
      </w:r>
      <w:r w:rsidR="0042531B" w:rsidRPr="001414DB">
        <w:rPr>
          <w:rFonts w:ascii="Arial" w:eastAsia="Calibri" w:hAnsi="Arial" w:cs="Arial"/>
          <w:sz w:val="20"/>
          <w:szCs w:val="20"/>
        </w:rPr>
        <w:t>e</w:t>
      </w:r>
      <w:r w:rsidRPr="001414DB">
        <w:rPr>
          <w:rFonts w:ascii="Arial" w:eastAsia="Calibri" w:hAnsi="Arial" w:cs="Arial"/>
          <w:sz w:val="20"/>
          <w:szCs w:val="20"/>
        </w:rPr>
        <w:t xml:space="preserve"> v oblasti energetické účinnosti, který byl EK předložen v lednové verzi Národního akčního plánu pro energetickou účinnost</w:t>
      </w:r>
      <w:r w:rsidR="00907327" w:rsidRPr="001414DB">
        <w:rPr>
          <w:rFonts w:ascii="Arial" w:eastAsia="Calibri" w:hAnsi="Arial" w:cs="Arial"/>
          <w:sz w:val="20"/>
          <w:szCs w:val="20"/>
        </w:rPr>
        <w:t xml:space="preserve"> (NAPEE)</w:t>
      </w:r>
      <w:r w:rsidRPr="001414DB">
        <w:rPr>
          <w:rFonts w:ascii="Arial" w:eastAsia="Calibri" w:hAnsi="Arial" w:cs="Arial"/>
          <w:sz w:val="20"/>
          <w:szCs w:val="20"/>
        </w:rPr>
        <w:t xml:space="preserve"> z roku 2015. EK požaduje k provedeným dílčím aktualizacím jednoznačné vysvětlení. </w:t>
      </w:r>
      <w:r w:rsidR="00907327" w:rsidRPr="001414DB">
        <w:rPr>
          <w:rFonts w:ascii="Arial" w:eastAsia="Calibri" w:hAnsi="Arial" w:cs="Arial"/>
          <w:sz w:val="20"/>
          <w:szCs w:val="20"/>
        </w:rPr>
        <w:t>Vysvětlení týkající se</w:t>
      </w:r>
      <w:r w:rsidR="0090371E" w:rsidRPr="001414DB">
        <w:rPr>
          <w:rFonts w:ascii="Arial" w:eastAsia="Calibri" w:hAnsi="Arial" w:cs="Arial"/>
          <w:sz w:val="20"/>
          <w:szCs w:val="20"/>
        </w:rPr>
        <w:t> </w:t>
      </w:r>
      <w:r w:rsidR="00907327" w:rsidRPr="001414DB">
        <w:rPr>
          <w:rFonts w:ascii="Arial" w:eastAsia="Calibri" w:hAnsi="Arial" w:cs="Arial"/>
          <w:sz w:val="20"/>
          <w:szCs w:val="20"/>
        </w:rPr>
        <w:t xml:space="preserve">důvodů rozdílného stanovení indikativního cíle energetické účinnosti (využití metodiky IEA, nedostupnost potřebných dat </w:t>
      </w:r>
      <w:proofErr w:type="spellStart"/>
      <w:r w:rsidR="00907327" w:rsidRPr="001414DB">
        <w:rPr>
          <w:rFonts w:ascii="Arial" w:eastAsia="Calibri" w:hAnsi="Arial" w:cs="Arial"/>
          <w:sz w:val="20"/>
          <w:szCs w:val="20"/>
        </w:rPr>
        <w:t>Eurostat</w:t>
      </w:r>
      <w:proofErr w:type="spellEnd"/>
      <w:r w:rsidR="00907327" w:rsidRPr="001414DB">
        <w:rPr>
          <w:rFonts w:ascii="Arial" w:eastAsia="Calibri" w:hAnsi="Arial" w:cs="Arial"/>
          <w:sz w:val="20"/>
          <w:szCs w:val="20"/>
        </w:rPr>
        <w:t>) zaslalo MPO na EK dne 20. 7. 2015. EK byla také informována o úkolu předložit vládě ČR aktualizované znění NAPEE do konce roku 2015.</w:t>
      </w:r>
      <w:r w:rsidR="00D573D6" w:rsidRPr="001414DB">
        <w:rPr>
          <w:rFonts w:ascii="Arial" w:eastAsia="Calibri" w:hAnsi="Arial" w:cs="Arial"/>
          <w:sz w:val="20"/>
          <w:szCs w:val="20"/>
        </w:rPr>
        <w:t xml:space="preserve"> Očekává se zpětná reakce EK.</w:t>
      </w:r>
    </w:p>
    <w:p w:rsidR="00B75627" w:rsidRPr="001414DB" w:rsidRDefault="00B75627" w:rsidP="001414DB">
      <w:pPr>
        <w:pStyle w:val="TextNOK"/>
        <w:keepNext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Dále </w:t>
      </w:r>
      <w:r w:rsidR="00657B5C" w:rsidRPr="001414DB">
        <w:rPr>
          <w:rFonts w:ascii="Arial" w:hAnsi="Arial" w:cs="Arial"/>
          <w:sz w:val="20"/>
          <w:szCs w:val="20"/>
        </w:rPr>
        <w:t xml:space="preserve">byl dokončen </w:t>
      </w:r>
      <w:r w:rsidRPr="001414DB">
        <w:rPr>
          <w:rFonts w:ascii="Arial" w:hAnsi="Arial" w:cs="Arial"/>
          <w:sz w:val="20"/>
          <w:szCs w:val="20"/>
        </w:rPr>
        <w:t xml:space="preserve">legislativní proces </w:t>
      </w:r>
      <w:r w:rsidR="00265679" w:rsidRPr="001414DB">
        <w:rPr>
          <w:rFonts w:ascii="Arial" w:hAnsi="Arial" w:cs="Arial"/>
          <w:sz w:val="20"/>
          <w:szCs w:val="20"/>
        </w:rPr>
        <w:t xml:space="preserve">směřující k </w:t>
      </w:r>
      <w:r w:rsidRPr="001414DB">
        <w:rPr>
          <w:rFonts w:ascii="Arial" w:hAnsi="Arial" w:cs="Arial"/>
          <w:sz w:val="20"/>
          <w:szCs w:val="20"/>
        </w:rPr>
        <w:t>přijetí no</w:t>
      </w:r>
      <w:r w:rsidR="0090371E" w:rsidRPr="001414DB">
        <w:rPr>
          <w:rFonts w:ascii="Arial" w:hAnsi="Arial" w:cs="Arial"/>
          <w:sz w:val="20"/>
          <w:szCs w:val="20"/>
        </w:rPr>
        <w:t>vely vyhlášky č. 78/2013 Sb., o </w:t>
      </w:r>
      <w:r w:rsidR="007552CC" w:rsidRPr="001414DB">
        <w:rPr>
          <w:rFonts w:ascii="Arial" w:hAnsi="Arial" w:cs="Arial"/>
          <w:sz w:val="20"/>
          <w:szCs w:val="20"/>
        </w:rPr>
        <w:t>energetické náročnosti budov,</w:t>
      </w:r>
      <w:r w:rsidRPr="001414DB">
        <w:rPr>
          <w:rFonts w:ascii="Arial" w:hAnsi="Arial" w:cs="Arial"/>
          <w:sz w:val="20"/>
          <w:szCs w:val="20"/>
        </w:rPr>
        <w:t xml:space="preserve"> u které bylo </w:t>
      </w:r>
      <w:r w:rsidR="004847BF" w:rsidRPr="001414DB">
        <w:rPr>
          <w:rFonts w:ascii="Arial" w:hAnsi="Arial" w:cs="Arial"/>
          <w:sz w:val="20"/>
          <w:szCs w:val="20"/>
        </w:rPr>
        <w:t xml:space="preserve">4. června 2015 </w:t>
      </w:r>
      <w:r w:rsidRPr="001414DB">
        <w:rPr>
          <w:rFonts w:ascii="Arial" w:hAnsi="Arial" w:cs="Arial"/>
          <w:sz w:val="20"/>
          <w:szCs w:val="20"/>
        </w:rPr>
        <w:t xml:space="preserve">ukončeno mezirezortní připomínkové řízení a v průběhu </w:t>
      </w:r>
      <w:r w:rsidR="00D573D6" w:rsidRPr="001414DB">
        <w:rPr>
          <w:rFonts w:ascii="Arial" w:hAnsi="Arial" w:cs="Arial"/>
          <w:sz w:val="20"/>
          <w:szCs w:val="20"/>
        </w:rPr>
        <w:t xml:space="preserve">července a srpna </w:t>
      </w:r>
      <w:r w:rsidRPr="001414DB">
        <w:rPr>
          <w:rFonts w:ascii="Arial" w:hAnsi="Arial" w:cs="Arial"/>
          <w:sz w:val="20"/>
          <w:szCs w:val="20"/>
        </w:rPr>
        <w:t>byla novela vyhlášky</w:t>
      </w:r>
      <w:r w:rsidR="000E72E3" w:rsidRPr="001414DB">
        <w:rPr>
          <w:rFonts w:ascii="Arial" w:hAnsi="Arial" w:cs="Arial"/>
          <w:sz w:val="20"/>
          <w:szCs w:val="20"/>
        </w:rPr>
        <w:t> projednán</w:t>
      </w:r>
      <w:r w:rsidR="00D573D6" w:rsidRPr="001414DB">
        <w:rPr>
          <w:rFonts w:ascii="Arial" w:hAnsi="Arial" w:cs="Arial"/>
          <w:sz w:val="20"/>
          <w:szCs w:val="20"/>
        </w:rPr>
        <w:t>a</w:t>
      </w:r>
      <w:r w:rsidR="000E72E3" w:rsidRPr="001414DB">
        <w:rPr>
          <w:rFonts w:ascii="Arial" w:hAnsi="Arial" w:cs="Arial"/>
          <w:sz w:val="20"/>
          <w:szCs w:val="20"/>
        </w:rPr>
        <w:t xml:space="preserve"> </w:t>
      </w:r>
      <w:r w:rsidR="00D573D6" w:rsidRPr="001414DB">
        <w:rPr>
          <w:rFonts w:ascii="Arial" w:hAnsi="Arial" w:cs="Arial"/>
          <w:sz w:val="20"/>
          <w:szCs w:val="20"/>
        </w:rPr>
        <w:t xml:space="preserve">v </w:t>
      </w:r>
      <w:r w:rsidR="000E72E3" w:rsidRPr="001414DB">
        <w:rPr>
          <w:rFonts w:ascii="Arial" w:hAnsi="Arial" w:cs="Arial"/>
          <w:sz w:val="20"/>
          <w:szCs w:val="20"/>
        </w:rPr>
        <w:t>komisí</w:t>
      </w:r>
      <w:r w:rsidR="00D573D6" w:rsidRPr="001414DB">
        <w:rPr>
          <w:rFonts w:ascii="Arial" w:hAnsi="Arial" w:cs="Arial"/>
          <w:sz w:val="20"/>
          <w:szCs w:val="20"/>
        </w:rPr>
        <w:t>ch</w:t>
      </w:r>
      <w:r w:rsidRPr="001414DB">
        <w:rPr>
          <w:rFonts w:ascii="Arial" w:hAnsi="Arial" w:cs="Arial"/>
          <w:sz w:val="20"/>
          <w:szCs w:val="20"/>
        </w:rPr>
        <w:t xml:space="preserve"> Legislativní rady vlády. </w:t>
      </w:r>
      <w:r w:rsidR="00D573D6" w:rsidRPr="001414DB">
        <w:rPr>
          <w:rFonts w:ascii="Arial" w:hAnsi="Arial" w:cs="Arial"/>
          <w:sz w:val="20"/>
          <w:szCs w:val="20"/>
        </w:rPr>
        <w:t xml:space="preserve"> Dne 26. </w:t>
      </w:r>
      <w:r w:rsidR="007552CC" w:rsidRPr="001414DB">
        <w:rPr>
          <w:rFonts w:ascii="Arial" w:hAnsi="Arial" w:cs="Arial"/>
          <w:sz w:val="20"/>
          <w:szCs w:val="20"/>
        </w:rPr>
        <w:t>srpna</w:t>
      </w:r>
      <w:r w:rsidR="00D573D6" w:rsidRPr="001414DB">
        <w:rPr>
          <w:rFonts w:ascii="Arial" w:hAnsi="Arial" w:cs="Arial"/>
          <w:sz w:val="20"/>
          <w:szCs w:val="20"/>
        </w:rPr>
        <w:t xml:space="preserve"> 2015 byla novela vyhlášky podepsána ministrem </w:t>
      </w:r>
      <w:r w:rsidRPr="001414DB">
        <w:rPr>
          <w:rFonts w:ascii="Arial" w:hAnsi="Arial" w:cs="Arial"/>
          <w:sz w:val="20"/>
          <w:szCs w:val="20"/>
        </w:rPr>
        <w:t>s</w:t>
      </w:r>
      <w:r w:rsidR="007552CC" w:rsidRPr="001414DB">
        <w:rPr>
          <w:rFonts w:ascii="Arial" w:hAnsi="Arial" w:cs="Arial"/>
          <w:sz w:val="20"/>
          <w:szCs w:val="20"/>
        </w:rPr>
        <w:t xml:space="preserve"> předpokládanou </w:t>
      </w:r>
      <w:r w:rsidRPr="001414DB">
        <w:rPr>
          <w:rFonts w:ascii="Arial" w:hAnsi="Arial" w:cs="Arial"/>
          <w:sz w:val="20"/>
          <w:szCs w:val="20"/>
        </w:rPr>
        <w:t xml:space="preserve">účinností </w:t>
      </w:r>
      <w:r w:rsidR="00D573D6" w:rsidRPr="001414DB">
        <w:rPr>
          <w:rFonts w:ascii="Arial" w:hAnsi="Arial" w:cs="Arial"/>
          <w:sz w:val="20"/>
          <w:szCs w:val="20"/>
        </w:rPr>
        <w:t>12/2015</w:t>
      </w:r>
      <w:r w:rsidR="007552CC" w:rsidRPr="001414DB">
        <w:rPr>
          <w:rFonts w:ascii="Arial" w:hAnsi="Arial" w:cs="Arial"/>
          <w:sz w:val="20"/>
          <w:szCs w:val="20"/>
        </w:rPr>
        <w:t>.</w:t>
      </w:r>
      <w:r w:rsidR="00D573D6" w:rsidRPr="001414DB">
        <w:rPr>
          <w:rFonts w:ascii="Arial" w:hAnsi="Arial" w:cs="Arial"/>
          <w:sz w:val="20"/>
          <w:szCs w:val="20"/>
        </w:rPr>
        <w:t xml:space="preserve">  </w:t>
      </w:r>
    </w:p>
    <w:p w:rsidR="00FF34D3" w:rsidRPr="001414DB" w:rsidRDefault="00FF34D3" w:rsidP="001414DB">
      <w:pPr>
        <w:pStyle w:val="TextNOK"/>
        <w:keepNext/>
        <w:spacing w:before="0"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906B78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 xml:space="preserve">T 5.1 </w:t>
      </w:r>
      <w:r w:rsidR="00A44210" w:rsidRPr="001414DB">
        <w:rPr>
          <w:rFonts w:ascii="Arial" w:hAnsi="Arial" w:cs="Arial"/>
          <w:b/>
          <w:sz w:val="20"/>
          <w:szCs w:val="20"/>
          <w:u w:val="single"/>
        </w:rPr>
        <w:t>Předcházení riziku a jeho řízení</w:t>
      </w:r>
    </w:p>
    <w:p w:rsidR="00E07C52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(gestor: m</w:t>
      </w:r>
      <w:r w:rsidR="00401181" w:rsidRPr="001414DB">
        <w:rPr>
          <w:rFonts w:ascii="Arial" w:hAnsi="Arial" w:cs="Arial"/>
          <w:sz w:val="20"/>
          <w:szCs w:val="20"/>
        </w:rPr>
        <w:t>inisterstvo životního prostředí</w:t>
      </w:r>
      <w:r w:rsidRPr="001414DB">
        <w:rPr>
          <w:rFonts w:ascii="Arial" w:hAnsi="Arial" w:cs="Arial"/>
          <w:sz w:val="20"/>
          <w:szCs w:val="20"/>
        </w:rPr>
        <w:t>)</w:t>
      </w:r>
    </w:p>
    <w:p w:rsidR="00E07C52" w:rsidRPr="001414DB" w:rsidRDefault="00E07C52" w:rsidP="001414DB">
      <w:pPr>
        <w:numPr>
          <w:ilvl w:val="0"/>
          <w:numId w:val="6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Součástí naplňování předběžné podmínky je Strategie přizpůsobení se změně klimatu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  <w:t>v podm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ínkách ČR (Adaptační strategie)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u níž od 15. května do 29. května 2015 probíhalo mezirezortní připomínkové řízení. </w:t>
      </w:r>
      <w:r w:rsidR="00766DF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Dne 26. </w:t>
      </w:r>
      <w:r w:rsidR="00546AA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</w:t>
      </w:r>
      <w:r w:rsidR="00766DF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rpna proběhlo veřejné projednávání Adaptační strategie v rámci procesu SEA. MŽP aktuálně zpracovává vypořádání připomínek.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Po vyhodnocení </w:t>
      </w:r>
      <w:r w:rsidR="00766DF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těchto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připomínek a posouzení procesem SEA bude Adaptační strategie předložena (pravděpodobně v září 2015) </w:t>
      </w:r>
      <w:r w:rsidR="002F5621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k projednání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vládě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ČR. P</w:t>
      </w:r>
      <w:r w:rsidR="002F5621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ředpokládané schválení vládou 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ČR </w:t>
      </w:r>
      <w:r w:rsidR="002F5621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je</w:t>
      </w:r>
      <w:r w:rsid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2F5621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do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2F5621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konce října 2015.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Strategie by měla být následně detaili</w:t>
      </w:r>
      <w:r w:rsidR="00906B78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zována implementačním plánem, u 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něhož je dopracování plánováno na konec roku 2017. 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18. srpna 2015 </w:t>
      </w:r>
      <w:r w:rsidR="00934C5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byl </w:t>
      </w:r>
      <w:r w:rsidR="00A80AA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návrh Adaptační strategie </w:t>
      </w:r>
      <w:r w:rsidR="0090371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se žádostí o </w:t>
      </w:r>
      <w:r w:rsidR="00934C5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neformální zhodnocení </w:t>
      </w:r>
      <w:r w:rsidR="00B3015A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zaslán </w:t>
      </w:r>
      <w:r w:rsidR="00934C5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na DG REGIO</w:t>
      </w:r>
      <w:r w:rsidR="000F7573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r w:rsidR="00AC263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Na začátku září EK zaslala </w:t>
      </w:r>
      <w:r w:rsidR="009D6C7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 dokumentu své dílčí stanovisko, které je nyní diskutováno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:rsidR="00583085" w:rsidRPr="001414DB" w:rsidRDefault="00E07C52" w:rsidP="001414DB">
      <w:pPr>
        <w:numPr>
          <w:ilvl w:val="0"/>
          <w:numId w:val="6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Předběžnou podmínku naplňují i další strategické dokumenty a podklady, a to např. Plány pro zvládání povodňových rizik</w:t>
      </w:r>
      <w:r w:rsidR="006956D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(do 22. 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června</w:t>
      </w:r>
      <w:r w:rsidR="006956D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2015 </w:t>
      </w:r>
      <w:r w:rsidR="0073045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probíhaly</w:t>
      </w:r>
      <w:r w:rsidR="006238B3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6956D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připomínky veřejnosti, dále probíhá SEA)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 Plány povodí</w:t>
      </w:r>
      <w:r w:rsidR="0004609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(do 22. </w:t>
      </w:r>
      <w:r w:rsidR="007552C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června</w:t>
      </w:r>
      <w:r w:rsidR="0004609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2015 probíha</w:t>
      </w:r>
      <w:r w:rsidR="00730457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ly</w:t>
      </w:r>
      <w:r w:rsidR="0004609D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připomínky veřejnosti, dále probíhá SEA)</w:t>
      </w:r>
      <w:r w:rsidR="006956D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lastRenderedPageBreak/>
        <w:t xml:space="preserve">Koncepce environmentální bezpečnosti 2015–2020 s výhledem do roku 2030. Mezi podklady patří také Zpracování studie dopadů, zranitelnosti a zdrojů rizik souvisejících se změnou klimatu pro nejohroženější sektory </w:t>
      </w:r>
      <w:r w:rsidR="00F8447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(</w:t>
      </w:r>
      <w:proofErr w:type="spellStart"/>
      <w:r w:rsidR="00F8447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vysoutěžena</w:t>
      </w:r>
      <w:proofErr w:type="spellEnd"/>
      <w:r w:rsidR="00F8447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veřejná zakázka na zhotovitele projektu z TP OPŽP – „Komplexní studie“, projekt je v realizaci)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 Definování kritérií pro stanovování investičních priorit v závislosti na riziku</w:t>
      </w:r>
      <w:r w:rsidR="00F8447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(součástí „Komplexní studie“)</w:t>
      </w:r>
      <w:r w:rsidR="009C27C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 tyto p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odk</w:t>
      </w:r>
      <w:r w:rsidR="0090371E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lady by měly být k dispozici do 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konce roku 2015.</w:t>
      </w:r>
    </w:p>
    <w:p w:rsidR="00583085" w:rsidRPr="001414DB" w:rsidRDefault="00583085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</w:p>
    <w:p w:rsidR="00E07C52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 xml:space="preserve">T 6.1 </w:t>
      </w:r>
      <w:r w:rsidR="00A44210" w:rsidRPr="001414DB">
        <w:rPr>
          <w:rFonts w:ascii="Arial" w:hAnsi="Arial" w:cs="Arial"/>
          <w:b/>
          <w:sz w:val="20"/>
          <w:szCs w:val="20"/>
          <w:u w:val="single"/>
        </w:rPr>
        <w:t>Vodní hospodářství</w:t>
      </w:r>
    </w:p>
    <w:p w:rsidR="00E07C52" w:rsidRPr="001414DB" w:rsidRDefault="00E07C52" w:rsidP="001414DB">
      <w:pPr>
        <w:pStyle w:val="TextNOK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(gestor: ministerstvo životního prostředí, ministerstvo zemědělství)</w:t>
      </w:r>
    </w:p>
    <w:p w:rsidR="00401181" w:rsidRPr="001414DB" w:rsidRDefault="006E16B4" w:rsidP="001414DB">
      <w:pPr>
        <w:pStyle w:val="TextNOK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EK požaduje vypracování ekonomické analýzy, která by měla směřovat k implementaci širší definice pro vodohospodářské služby a spočítat a zahrnout do úhrad nákladů environmentální náklady a náklady na využívané zdroje, ale i náklady generované bodovými zdroji a také difuzními a plošnými zdroji. Toto bylo promítnuto do Akčního plánu k PP 6.1 ke dni 31. března 2015. </w:t>
      </w:r>
    </w:p>
    <w:p w:rsidR="00546AAE" w:rsidRPr="001414DB" w:rsidRDefault="00C41049" w:rsidP="001414DB">
      <w:pPr>
        <w:pStyle w:val="TextNOK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V této souvislosti zaslalo MŽP </w:t>
      </w:r>
      <w:r w:rsidR="006460F8" w:rsidRPr="001414DB">
        <w:rPr>
          <w:rFonts w:ascii="Arial" w:hAnsi="Arial" w:cs="Arial"/>
          <w:sz w:val="20"/>
          <w:szCs w:val="20"/>
        </w:rPr>
        <w:t>(2. července 2015)</w:t>
      </w:r>
      <w:r w:rsidR="00D421B3" w:rsidRPr="001414DB">
        <w:rPr>
          <w:rFonts w:ascii="Arial" w:hAnsi="Arial" w:cs="Arial"/>
          <w:sz w:val="20"/>
          <w:szCs w:val="20"/>
        </w:rPr>
        <w:t xml:space="preserve"> </w:t>
      </w:r>
      <w:r w:rsidRPr="001414DB">
        <w:rPr>
          <w:rFonts w:ascii="Arial" w:hAnsi="Arial" w:cs="Arial"/>
          <w:sz w:val="20"/>
          <w:szCs w:val="20"/>
        </w:rPr>
        <w:t xml:space="preserve">na EK </w:t>
      </w:r>
      <w:r w:rsidR="00D421B3" w:rsidRPr="001414DB">
        <w:rPr>
          <w:rFonts w:ascii="Arial" w:hAnsi="Arial" w:cs="Arial"/>
          <w:sz w:val="20"/>
          <w:szCs w:val="20"/>
        </w:rPr>
        <w:t xml:space="preserve">aktualizovaný návrh </w:t>
      </w:r>
      <w:r w:rsidRPr="001414DB">
        <w:rPr>
          <w:rFonts w:ascii="Arial" w:hAnsi="Arial" w:cs="Arial"/>
          <w:sz w:val="20"/>
          <w:szCs w:val="20"/>
        </w:rPr>
        <w:t>ekonomické analýzy</w:t>
      </w:r>
      <w:r w:rsidR="00D421B3" w:rsidRPr="001414DB">
        <w:rPr>
          <w:rFonts w:ascii="Arial" w:hAnsi="Arial" w:cs="Arial"/>
          <w:sz w:val="20"/>
          <w:szCs w:val="20"/>
        </w:rPr>
        <w:t xml:space="preserve"> (byly doplněny zejména údaje za oblast zemědělství)</w:t>
      </w:r>
      <w:r w:rsidRPr="001414DB">
        <w:rPr>
          <w:rFonts w:ascii="Arial" w:hAnsi="Arial" w:cs="Arial"/>
          <w:sz w:val="20"/>
          <w:szCs w:val="20"/>
        </w:rPr>
        <w:t xml:space="preserve"> se žádostí o posouzení správnosti zpracování. EK však odmítla poskytnout dílčí stanoviska k materiálu s tím, že </w:t>
      </w:r>
      <w:r w:rsidR="00791925" w:rsidRPr="001414DB">
        <w:rPr>
          <w:rFonts w:ascii="Arial" w:hAnsi="Arial" w:cs="Arial"/>
          <w:sz w:val="20"/>
          <w:szCs w:val="20"/>
        </w:rPr>
        <w:t>komplexní posouzení dokumentů bude zahájeno až při dodání v příštím roce.</w:t>
      </w:r>
      <w:r w:rsidR="00007602" w:rsidRPr="001414DB">
        <w:rPr>
          <w:rFonts w:ascii="Arial" w:hAnsi="Arial" w:cs="Arial"/>
          <w:sz w:val="20"/>
          <w:szCs w:val="20"/>
        </w:rPr>
        <w:t xml:space="preserve"> </w:t>
      </w:r>
    </w:p>
    <w:p w:rsidR="00E8447A" w:rsidRPr="001414DB" w:rsidRDefault="00007602" w:rsidP="001414DB">
      <w:pPr>
        <w:pStyle w:val="TextNOK"/>
        <w:numPr>
          <w:ilvl w:val="0"/>
          <w:numId w:val="2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Aktualizovaná ekonomická analýza byla</w:t>
      </w:r>
      <w:r w:rsidR="00546AAE" w:rsidRPr="001414DB">
        <w:rPr>
          <w:rFonts w:ascii="Arial" w:hAnsi="Arial" w:cs="Arial"/>
          <w:sz w:val="20"/>
          <w:szCs w:val="20"/>
        </w:rPr>
        <w:t xml:space="preserve"> rovněž</w:t>
      </w:r>
      <w:r w:rsidRPr="001414DB">
        <w:rPr>
          <w:rFonts w:ascii="Arial" w:hAnsi="Arial" w:cs="Arial"/>
          <w:sz w:val="20"/>
          <w:szCs w:val="20"/>
        </w:rPr>
        <w:t xml:space="preserve"> zveřejněna k připomínkám veřejnosti a uživatelů vody jako součást plánů povodí (ukončeny dne 22. června 2015).</w:t>
      </w:r>
      <w:r w:rsidR="001414DB">
        <w:rPr>
          <w:rFonts w:ascii="Arial" w:hAnsi="Arial" w:cs="Arial"/>
          <w:sz w:val="20"/>
          <w:szCs w:val="20"/>
        </w:rPr>
        <w:t xml:space="preserve"> Do konce července probíhalo ve </w:t>
      </w:r>
      <w:r w:rsidRPr="001414DB">
        <w:rPr>
          <w:rFonts w:ascii="Arial" w:hAnsi="Arial" w:cs="Arial"/>
          <w:sz w:val="20"/>
          <w:szCs w:val="20"/>
        </w:rPr>
        <w:t xml:space="preserve">vzájemné spolupráci </w:t>
      </w:r>
      <w:r w:rsidR="00401181" w:rsidRPr="001414DB">
        <w:rPr>
          <w:rFonts w:ascii="Arial" w:hAnsi="Arial" w:cs="Arial"/>
          <w:sz w:val="20"/>
          <w:szCs w:val="20"/>
        </w:rPr>
        <w:t xml:space="preserve">relevantních resortů </w:t>
      </w:r>
      <w:r w:rsidRPr="001414DB">
        <w:rPr>
          <w:rFonts w:ascii="Arial" w:hAnsi="Arial" w:cs="Arial"/>
          <w:sz w:val="20"/>
          <w:szCs w:val="20"/>
        </w:rPr>
        <w:t>a státních podniků Povodí vypořádání došlých připomínek</w:t>
      </w:r>
      <w:r w:rsidR="00CB302B" w:rsidRPr="001414DB">
        <w:rPr>
          <w:rFonts w:ascii="Arial" w:hAnsi="Arial" w:cs="Arial"/>
          <w:sz w:val="20"/>
          <w:szCs w:val="20"/>
        </w:rPr>
        <w:t>.</w:t>
      </w:r>
      <w:r w:rsidRPr="001414DB">
        <w:rPr>
          <w:rFonts w:ascii="Arial" w:hAnsi="Arial" w:cs="Arial"/>
          <w:sz w:val="20"/>
          <w:szCs w:val="20"/>
        </w:rPr>
        <w:t xml:space="preserve"> </w:t>
      </w:r>
      <w:r w:rsidR="00051E49" w:rsidRPr="001414DB">
        <w:rPr>
          <w:rFonts w:ascii="Arial" w:hAnsi="Arial" w:cs="Arial"/>
          <w:sz w:val="20"/>
          <w:szCs w:val="20"/>
        </w:rPr>
        <w:t>Vypořádací dokument</w:t>
      </w:r>
      <w:r w:rsidR="00CB302B" w:rsidRPr="001414DB">
        <w:rPr>
          <w:rFonts w:ascii="Arial" w:hAnsi="Arial" w:cs="Arial"/>
          <w:sz w:val="20"/>
          <w:szCs w:val="20"/>
        </w:rPr>
        <w:t xml:space="preserve"> byl</w:t>
      </w:r>
      <w:r w:rsidR="00051E49" w:rsidRPr="001414DB">
        <w:rPr>
          <w:rFonts w:ascii="Arial" w:hAnsi="Arial" w:cs="Arial"/>
          <w:sz w:val="20"/>
          <w:szCs w:val="20"/>
        </w:rPr>
        <w:t xml:space="preserve"> zveřejněn ve lhůtě 60 dnů po uplynutí lhůty k podávání připomínek, tj. od 20. srpna 2015, na dobu 30 dnů (tj. do 19. září 2015).</w:t>
      </w:r>
      <w:r w:rsidR="007552CC" w:rsidRPr="001414DB">
        <w:rPr>
          <w:rFonts w:ascii="Arial" w:hAnsi="Arial" w:cs="Arial"/>
          <w:sz w:val="20"/>
          <w:szCs w:val="20"/>
        </w:rPr>
        <w:t xml:space="preserve"> </w:t>
      </w:r>
      <w:r w:rsidR="006E16B4" w:rsidRPr="001414DB">
        <w:rPr>
          <w:rFonts w:ascii="Arial" w:hAnsi="Arial" w:cs="Arial"/>
          <w:sz w:val="20"/>
          <w:szCs w:val="20"/>
        </w:rPr>
        <w:t>Taktéž zpracované návrhy aktualizovaných plánů povodí (druhé kritérium) byly zveřejněny k</w:t>
      </w:r>
      <w:r w:rsidR="0075484C" w:rsidRPr="001414DB">
        <w:rPr>
          <w:rFonts w:ascii="Arial" w:hAnsi="Arial" w:cs="Arial"/>
          <w:sz w:val="20"/>
          <w:szCs w:val="20"/>
        </w:rPr>
        <w:t> </w:t>
      </w:r>
      <w:r w:rsidR="00C576D9" w:rsidRPr="001414DB">
        <w:rPr>
          <w:rFonts w:ascii="Arial" w:hAnsi="Arial" w:cs="Arial"/>
          <w:sz w:val="20"/>
          <w:szCs w:val="20"/>
        </w:rPr>
        <w:t xml:space="preserve">připomínkám veřejnosti </w:t>
      </w:r>
      <w:r w:rsidR="001414DB">
        <w:rPr>
          <w:rFonts w:ascii="Arial" w:hAnsi="Arial" w:cs="Arial"/>
          <w:sz w:val="20"/>
          <w:szCs w:val="20"/>
        </w:rPr>
        <w:br/>
      </w:r>
      <w:r w:rsidR="00C576D9" w:rsidRPr="001414DB">
        <w:rPr>
          <w:rFonts w:ascii="Arial" w:hAnsi="Arial" w:cs="Arial"/>
          <w:sz w:val="20"/>
          <w:szCs w:val="20"/>
        </w:rPr>
        <w:t>do 22. června</w:t>
      </w:r>
      <w:r w:rsidR="006E16B4" w:rsidRPr="001414DB">
        <w:rPr>
          <w:rFonts w:ascii="Arial" w:hAnsi="Arial" w:cs="Arial"/>
          <w:sz w:val="20"/>
          <w:szCs w:val="20"/>
        </w:rPr>
        <w:t xml:space="preserve"> 2015, </w:t>
      </w:r>
      <w:r w:rsidR="00BB6475" w:rsidRPr="001414DB">
        <w:rPr>
          <w:rFonts w:ascii="Arial" w:hAnsi="Arial" w:cs="Arial"/>
          <w:sz w:val="20"/>
          <w:szCs w:val="20"/>
        </w:rPr>
        <w:t>nyní probíhá</w:t>
      </w:r>
      <w:r w:rsidR="006E16B4" w:rsidRPr="001414DB">
        <w:rPr>
          <w:rFonts w:ascii="Arial" w:hAnsi="Arial" w:cs="Arial"/>
          <w:sz w:val="20"/>
          <w:szCs w:val="20"/>
        </w:rPr>
        <w:t xml:space="preserve"> proces SEA. </w:t>
      </w:r>
    </w:p>
    <w:p w:rsidR="00007602" w:rsidRPr="001414DB" w:rsidRDefault="00007602" w:rsidP="001414DB">
      <w:pPr>
        <w:pStyle w:val="TextNOK"/>
        <w:numPr>
          <w:ilvl w:val="2"/>
          <w:numId w:val="24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Problematika plnění</w:t>
      </w:r>
      <w:r w:rsidR="00C66F27" w:rsidRPr="001414DB">
        <w:rPr>
          <w:rFonts w:ascii="Arial" w:hAnsi="Arial" w:cs="Arial"/>
          <w:sz w:val="20"/>
          <w:szCs w:val="20"/>
        </w:rPr>
        <w:t xml:space="preserve"> PP 6.1 byla zařa</w:t>
      </w:r>
      <w:r w:rsidRPr="001414DB">
        <w:rPr>
          <w:rFonts w:ascii="Arial" w:hAnsi="Arial" w:cs="Arial"/>
          <w:sz w:val="20"/>
          <w:szCs w:val="20"/>
        </w:rPr>
        <w:t>zena do programu jednání zemí V4 PRES, kde budou diskutovány hlavní zkušenosti a problémy s plněním této PP napříč jednotlivými státy V4.</w:t>
      </w:r>
    </w:p>
    <w:p w:rsidR="00007602" w:rsidRPr="001414DB" w:rsidRDefault="00007602" w:rsidP="001414DB">
      <w:pPr>
        <w:pStyle w:val="TextNOK"/>
        <w:spacing w:before="0"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906B78" w:rsidRPr="001414DB" w:rsidRDefault="00E07C52" w:rsidP="001414DB">
      <w:pPr>
        <w:pStyle w:val="TextNOK"/>
        <w:tabs>
          <w:tab w:val="left" w:pos="142"/>
        </w:tabs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>T 6.2 Odpadové hospodářství</w:t>
      </w:r>
      <w:r w:rsidRPr="001414DB">
        <w:rPr>
          <w:rFonts w:ascii="Arial" w:hAnsi="Arial" w:cs="Arial"/>
          <w:b/>
          <w:sz w:val="20"/>
          <w:szCs w:val="20"/>
        </w:rPr>
        <w:t xml:space="preserve"> </w:t>
      </w:r>
    </w:p>
    <w:p w:rsidR="0005245D" w:rsidRPr="001414DB" w:rsidRDefault="00E07C52" w:rsidP="001414DB">
      <w:pPr>
        <w:pStyle w:val="TextNOK"/>
        <w:tabs>
          <w:tab w:val="left" w:pos="142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(gestor: ministerstvo životního prostředí)</w:t>
      </w:r>
    </w:p>
    <w:p w:rsidR="00371EC4" w:rsidRPr="001414DB" w:rsidRDefault="00371EC4" w:rsidP="001414DB">
      <w:pPr>
        <w:pStyle w:val="TextNOK"/>
        <w:numPr>
          <w:ilvl w:val="0"/>
          <w:numId w:val="39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Dne 23. dubna 2015 Legislativní rada vlády schválila </w:t>
      </w:r>
      <w:r w:rsidR="001414DB">
        <w:rPr>
          <w:rFonts w:ascii="Arial" w:hAnsi="Arial" w:cs="Arial"/>
          <w:sz w:val="20"/>
          <w:szCs w:val="20"/>
        </w:rPr>
        <w:t>věcný záměr zákona o odpadech a </w:t>
      </w:r>
      <w:r w:rsidRPr="001414DB">
        <w:rPr>
          <w:rFonts w:ascii="Arial" w:hAnsi="Arial" w:cs="Arial"/>
          <w:sz w:val="20"/>
          <w:szCs w:val="20"/>
        </w:rPr>
        <w:t>doporučila jej vládě ČR ke schválení. Současně uložila ministru životního prost</w:t>
      </w:r>
      <w:r w:rsidR="001414DB">
        <w:rPr>
          <w:rFonts w:ascii="Arial" w:hAnsi="Arial" w:cs="Arial"/>
          <w:sz w:val="20"/>
          <w:szCs w:val="20"/>
        </w:rPr>
        <w:t>ředí vypracovat a </w:t>
      </w:r>
      <w:r w:rsidRPr="001414DB">
        <w:rPr>
          <w:rFonts w:ascii="Arial" w:hAnsi="Arial" w:cs="Arial"/>
          <w:sz w:val="20"/>
          <w:szCs w:val="20"/>
        </w:rPr>
        <w:t>vládě ČR do 30. září  2015 předložit návrh zákona o odpadech, v němž budou zapracovány připomínky obsažené ve stanovisku Legislativní rady vlády ČR. V průběhu září 2015 bude probíhat i nadále příprava paragrafového znění zákona o odpadech na úrovni MŽP. Následně bude paragrafové znění zákona o odpadech rozesláno do meziresor</w:t>
      </w:r>
      <w:r w:rsidR="001414DB">
        <w:rPr>
          <w:rFonts w:ascii="Arial" w:hAnsi="Arial" w:cs="Arial"/>
          <w:sz w:val="20"/>
          <w:szCs w:val="20"/>
        </w:rPr>
        <w:t>tního připomínkového řízení. Po </w:t>
      </w:r>
      <w:r w:rsidRPr="001414DB">
        <w:rPr>
          <w:rFonts w:ascii="Arial" w:hAnsi="Arial" w:cs="Arial"/>
          <w:sz w:val="20"/>
          <w:szCs w:val="20"/>
        </w:rPr>
        <w:t>vypořádání připomínek v rámci meziresortního připomínkového řízení bude vládě ČR předložen návrh zákona o odpadech, v němž budou rovněž zohledněny připomínky uvedené ve stanovisku Legislativní rady vlády k věcnému záměru zákona.</w:t>
      </w:r>
    </w:p>
    <w:p w:rsidR="007552CC" w:rsidRPr="001414DB" w:rsidRDefault="00173652" w:rsidP="001414DB">
      <w:pPr>
        <w:pStyle w:val="TextNOK"/>
        <w:numPr>
          <w:ilvl w:val="0"/>
          <w:numId w:val="39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Zákon musí být schválen nejpozději k 31. prosinci 2016 dle závazku učiněným Českou republikou v rámci akčního plánu.</w:t>
      </w:r>
    </w:p>
    <w:p w:rsidR="00173652" w:rsidRPr="001414DB" w:rsidRDefault="00173652" w:rsidP="001414DB">
      <w:pPr>
        <w:pStyle w:val="TextNOK"/>
        <w:numPr>
          <w:ilvl w:val="0"/>
          <w:numId w:val="39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Dále v rámci akčního plánu k PP je jasně uvedený závazek k vyřešení rozdílů </w:t>
      </w:r>
      <w:r w:rsidRPr="001414DB">
        <w:rPr>
          <w:rFonts w:ascii="Arial" w:hAnsi="Arial" w:cs="Arial"/>
          <w:sz w:val="20"/>
          <w:szCs w:val="20"/>
        </w:rPr>
        <w:br/>
        <w:t xml:space="preserve">ve statistikách komunálního odpadu. Problematika dvojích dat (MŽP x ČSÚ) je nadále intenzivně řešena. Bližší informace </w:t>
      </w:r>
      <w:r w:rsidR="00F0498B" w:rsidRPr="001414DB">
        <w:rPr>
          <w:rFonts w:ascii="Arial" w:hAnsi="Arial" w:cs="Arial"/>
          <w:sz w:val="20"/>
          <w:szCs w:val="20"/>
        </w:rPr>
        <w:t xml:space="preserve">o řešení této problematiky </w:t>
      </w:r>
      <w:r w:rsidRPr="001414DB">
        <w:rPr>
          <w:rFonts w:ascii="Arial" w:hAnsi="Arial" w:cs="Arial"/>
          <w:sz w:val="20"/>
          <w:szCs w:val="20"/>
        </w:rPr>
        <w:t xml:space="preserve">budou EK poskytnuty </w:t>
      </w:r>
      <w:r w:rsidR="00F0498B" w:rsidRPr="001414DB">
        <w:rPr>
          <w:rFonts w:ascii="Arial" w:hAnsi="Arial" w:cs="Arial"/>
          <w:sz w:val="20"/>
          <w:szCs w:val="20"/>
        </w:rPr>
        <w:t xml:space="preserve">do konce září </w:t>
      </w:r>
      <w:r w:rsidRPr="001414DB">
        <w:rPr>
          <w:rFonts w:ascii="Arial" w:hAnsi="Arial" w:cs="Arial"/>
          <w:sz w:val="20"/>
          <w:szCs w:val="20"/>
        </w:rPr>
        <w:t xml:space="preserve">2015. </w:t>
      </w:r>
    </w:p>
    <w:p w:rsidR="007552CC" w:rsidRPr="001414DB" w:rsidRDefault="00173652" w:rsidP="001414DB">
      <w:pPr>
        <w:pStyle w:val="Odstavecseseznamem"/>
        <w:keepNext/>
        <w:numPr>
          <w:ilvl w:val="0"/>
          <w:numId w:val="33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Za rizikovou lze rovněž označit skutečnost, že EK bude vyhodnocovat a posuzovat všech 14 krajských Plánů odpadového hospodářství</w:t>
      </w:r>
      <w:r w:rsidR="007552CC" w:rsidRPr="001414DB">
        <w:rPr>
          <w:rFonts w:ascii="Arial" w:hAnsi="Arial" w:cs="Arial"/>
          <w:sz w:val="20"/>
          <w:szCs w:val="20"/>
        </w:rPr>
        <w:t xml:space="preserve"> </w:t>
      </w:r>
      <w:r w:rsidR="001414DB">
        <w:rPr>
          <w:rFonts w:ascii="Arial" w:hAnsi="Arial" w:cs="Arial"/>
          <w:sz w:val="20"/>
          <w:szCs w:val="20"/>
        </w:rPr>
        <w:t>(</w:t>
      </w:r>
      <w:r w:rsidR="007552CC" w:rsidRPr="001414DB">
        <w:rPr>
          <w:rFonts w:ascii="Arial" w:hAnsi="Arial" w:cs="Arial"/>
          <w:sz w:val="20"/>
          <w:szCs w:val="20"/>
        </w:rPr>
        <w:t>KPOH)</w:t>
      </w:r>
      <w:r w:rsidRPr="001414DB">
        <w:rPr>
          <w:rFonts w:ascii="Arial" w:hAnsi="Arial" w:cs="Arial"/>
          <w:sz w:val="20"/>
          <w:szCs w:val="20"/>
        </w:rPr>
        <w:t>, které jsou rovněž předmětem naplňování předběžné podmínky.</w:t>
      </w:r>
    </w:p>
    <w:p w:rsidR="00906B78" w:rsidRPr="001414DB" w:rsidRDefault="00173652" w:rsidP="001414DB">
      <w:pPr>
        <w:pStyle w:val="Odstavecseseznamem"/>
        <w:keepNext/>
        <w:numPr>
          <w:ilvl w:val="0"/>
          <w:numId w:val="33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U </w:t>
      </w:r>
      <w:r w:rsidR="007552CC" w:rsidRPr="001414DB">
        <w:rPr>
          <w:rFonts w:ascii="Arial" w:hAnsi="Arial" w:cs="Arial"/>
          <w:sz w:val="20"/>
          <w:szCs w:val="20"/>
        </w:rPr>
        <w:t xml:space="preserve">KPOH </w:t>
      </w:r>
      <w:r w:rsidRPr="001414DB">
        <w:rPr>
          <w:rFonts w:ascii="Arial" w:hAnsi="Arial" w:cs="Arial"/>
          <w:sz w:val="20"/>
          <w:szCs w:val="20"/>
        </w:rPr>
        <w:t xml:space="preserve">probíhá proces SEA, závěry zjišťovacího řízení </w:t>
      </w:r>
      <w:r w:rsidR="00B21C51" w:rsidRPr="001414DB">
        <w:rPr>
          <w:rFonts w:ascii="Arial" w:hAnsi="Arial" w:cs="Arial"/>
          <w:sz w:val="20"/>
          <w:szCs w:val="20"/>
        </w:rPr>
        <w:t xml:space="preserve">byly již vydány </w:t>
      </w:r>
      <w:r w:rsidR="006E04DD" w:rsidRPr="001414DB">
        <w:rPr>
          <w:rFonts w:ascii="Arial" w:hAnsi="Arial" w:cs="Arial"/>
          <w:sz w:val="20"/>
          <w:szCs w:val="20"/>
        </w:rPr>
        <w:t>u všech KPOH</w:t>
      </w:r>
      <w:r w:rsidR="00906B78" w:rsidRPr="001414DB">
        <w:rPr>
          <w:rFonts w:ascii="Arial" w:hAnsi="Arial" w:cs="Arial"/>
          <w:sz w:val="20"/>
          <w:szCs w:val="20"/>
        </w:rPr>
        <w:t xml:space="preserve">. </w:t>
      </w:r>
      <w:r w:rsidR="001414DB">
        <w:rPr>
          <w:rFonts w:ascii="Arial" w:hAnsi="Arial" w:cs="Arial"/>
          <w:sz w:val="20"/>
          <w:szCs w:val="20"/>
          <w:lang w:eastAsia="cs-CZ"/>
        </w:rPr>
        <w:t>Na </w:t>
      </w:r>
      <w:r w:rsidR="004519A1" w:rsidRPr="001414DB">
        <w:rPr>
          <w:rFonts w:ascii="Arial" w:hAnsi="Arial" w:cs="Arial"/>
          <w:sz w:val="20"/>
          <w:szCs w:val="20"/>
          <w:lang w:eastAsia="cs-CZ"/>
        </w:rPr>
        <w:t>základě závěru zjišťovacího řízení zpracovávají kraje vyhodnoce</w:t>
      </w:r>
      <w:r w:rsidR="001414DB">
        <w:rPr>
          <w:rFonts w:ascii="Arial" w:hAnsi="Arial" w:cs="Arial"/>
          <w:sz w:val="20"/>
          <w:szCs w:val="20"/>
          <w:lang w:eastAsia="cs-CZ"/>
        </w:rPr>
        <w:t>ní koncepce z hlediska vlivů na </w:t>
      </w:r>
      <w:r w:rsidR="004519A1" w:rsidRPr="001414DB">
        <w:rPr>
          <w:rFonts w:ascii="Arial" w:hAnsi="Arial" w:cs="Arial"/>
          <w:sz w:val="20"/>
          <w:szCs w:val="20"/>
          <w:lang w:eastAsia="cs-CZ"/>
        </w:rPr>
        <w:t xml:space="preserve">životní prostředí a zasílají návrh koncepce včetně </w:t>
      </w:r>
      <w:r w:rsidR="006E04DD" w:rsidRPr="001414DB">
        <w:rPr>
          <w:rFonts w:ascii="Arial" w:hAnsi="Arial" w:cs="Arial"/>
          <w:sz w:val="20"/>
          <w:szCs w:val="20"/>
          <w:lang w:eastAsia="cs-CZ"/>
        </w:rPr>
        <w:t xml:space="preserve">tohoto </w:t>
      </w:r>
      <w:r w:rsidR="004519A1" w:rsidRPr="001414DB">
        <w:rPr>
          <w:rFonts w:ascii="Arial" w:hAnsi="Arial" w:cs="Arial"/>
          <w:sz w:val="20"/>
          <w:szCs w:val="20"/>
          <w:lang w:eastAsia="cs-CZ"/>
        </w:rPr>
        <w:t xml:space="preserve">vyhodnocení odboru posuzování vlivů na životní prostředí a integrované prevence. Po uplynutí 30 dnů ode dne předložení návrhu koncepce příslušnému úřadu, může být konáno veřejné projednání návrhu koncepce. </w:t>
      </w:r>
      <w:r w:rsidR="001D3AA1" w:rsidRPr="001414DB">
        <w:rPr>
          <w:rFonts w:ascii="Arial" w:eastAsia="Calibri" w:hAnsi="Arial" w:cs="Arial"/>
          <w:sz w:val="20"/>
          <w:szCs w:val="20"/>
        </w:rPr>
        <w:t xml:space="preserve">V průběhu </w:t>
      </w:r>
      <w:r w:rsidR="001D3AA1" w:rsidRPr="001414DB">
        <w:rPr>
          <w:rFonts w:ascii="Arial" w:eastAsia="Calibri" w:hAnsi="Arial" w:cs="Arial"/>
          <w:sz w:val="20"/>
          <w:szCs w:val="20"/>
        </w:rPr>
        <w:lastRenderedPageBreak/>
        <w:t xml:space="preserve">listopadu/prosince kraje očekávají kompletaci a předání díla od zpracovatelů KPOH. Po vydání KPOH v roce 2016 budou postupně zasílány EK k  posouzení. </w:t>
      </w:r>
    </w:p>
    <w:p w:rsidR="00906B78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 xml:space="preserve">T 7.1 – 7.3 </w:t>
      </w:r>
      <w:r w:rsidR="00A44210" w:rsidRPr="001414DB">
        <w:rPr>
          <w:rFonts w:ascii="Arial" w:hAnsi="Arial" w:cs="Arial"/>
          <w:b/>
          <w:sz w:val="20"/>
          <w:szCs w:val="20"/>
          <w:u w:val="single"/>
        </w:rPr>
        <w:t>Silniční d</w:t>
      </w:r>
      <w:r w:rsidRPr="001414DB">
        <w:rPr>
          <w:rFonts w:ascii="Arial" w:hAnsi="Arial" w:cs="Arial"/>
          <w:b/>
          <w:sz w:val="20"/>
          <w:szCs w:val="20"/>
          <w:u w:val="single"/>
        </w:rPr>
        <w:t>oprava</w:t>
      </w:r>
      <w:r w:rsidR="00A44210" w:rsidRPr="001414DB">
        <w:rPr>
          <w:rFonts w:ascii="Arial" w:hAnsi="Arial" w:cs="Arial"/>
          <w:b/>
          <w:sz w:val="20"/>
          <w:szCs w:val="20"/>
          <w:u w:val="single"/>
        </w:rPr>
        <w:t>, Železniční doprava, Ostatní doprava</w:t>
      </w:r>
    </w:p>
    <w:p w:rsidR="00E07C52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</w:rPr>
        <w:t>(gestor: ministerstvo dopravy)</w:t>
      </w:r>
    </w:p>
    <w:p w:rsidR="00E07C52" w:rsidRPr="001414DB" w:rsidRDefault="00E07C52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U všech PP týkajících se dopravy není ze strany EK shledáno za dostačující naplňování kritéria „Opatření k zajištění způsobilosti zprostředkujících subjektů a příjemců realizovat p</w:t>
      </w:r>
      <w:r w:rsidR="006E04DD" w:rsidRPr="001414DB">
        <w:rPr>
          <w:rFonts w:ascii="Arial" w:hAnsi="Arial" w:cs="Arial"/>
          <w:sz w:val="20"/>
          <w:szCs w:val="20"/>
        </w:rPr>
        <w:t xml:space="preserve">rojekt“. Ministerstvo dopravy </w:t>
      </w:r>
      <w:r w:rsidRPr="001414DB">
        <w:rPr>
          <w:rFonts w:ascii="Arial" w:hAnsi="Arial" w:cs="Arial"/>
          <w:sz w:val="20"/>
          <w:szCs w:val="20"/>
        </w:rPr>
        <w:t xml:space="preserve">jakožto odpovědný subjekt provede (do září 2016) opatření k posílení kapacity hlavních příjemců a zprostředkujícího subjektu a předloží Zprávu o realizovaných opatřeních zahrnující doporučení a výhled řešení případných zbývajících úzkých míst. </w:t>
      </w:r>
    </w:p>
    <w:p w:rsidR="00E07C52" w:rsidRPr="001414DB" w:rsidRDefault="00E07C52" w:rsidP="001414DB">
      <w:pPr>
        <w:pStyle w:val="TextNOK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U PP 7.2 EK trvala na doplnění opatření ve smyslu předložení Koncepce veřejné</w:t>
      </w:r>
      <w:r w:rsidR="006E04DD" w:rsidRPr="001414DB">
        <w:rPr>
          <w:rFonts w:ascii="Arial" w:hAnsi="Arial" w:cs="Arial"/>
          <w:sz w:val="20"/>
          <w:szCs w:val="20"/>
        </w:rPr>
        <w:t xml:space="preserve"> dopravy (smyslem je doplnit Dopravní sektorovou strategii</w:t>
      </w:r>
      <w:r w:rsidRPr="001414DB">
        <w:rPr>
          <w:rFonts w:ascii="Arial" w:hAnsi="Arial" w:cs="Arial"/>
          <w:sz w:val="20"/>
          <w:szCs w:val="20"/>
        </w:rPr>
        <w:t xml:space="preserve"> II o lepší vymezení doprav</w:t>
      </w:r>
      <w:r w:rsidR="00583085" w:rsidRPr="001414DB">
        <w:rPr>
          <w:rFonts w:ascii="Arial" w:hAnsi="Arial" w:cs="Arial"/>
          <w:sz w:val="20"/>
          <w:szCs w:val="20"/>
        </w:rPr>
        <w:t>ního plánování)</w:t>
      </w:r>
      <w:r w:rsidR="00E855A3" w:rsidRPr="001414DB">
        <w:rPr>
          <w:rFonts w:ascii="Arial" w:hAnsi="Arial" w:cs="Arial"/>
          <w:sz w:val="20"/>
          <w:szCs w:val="20"/>
        </w:rPr>
        <w:t>. Dne 15. června 2015 byla přijata vládou ČR usnesením č. 467 Bílá kniha - Koncepce veřejné dopravy 2015-2020 s výhledem do roku 2030</w:t>
      </w:r>
      <w:r w:rsidR="003F390F" w:rsidRPr="001414DB">
        <w:rPr>
          <w:rFonts w:ascii="Arial" w:hAnsi="Arial" w:cs="Arial"/>
          <w:sz w:val="20"/>
          <w:szCs w:val="20"/>
        </w:rPr>
        <w:t>. Tímto došlo ke splnění krité</w:t>
      </w:r>
      <w:r w:rsidR="001414DB">
        <w:rPr>
          <w:rFonts w:ascii="Arial" w:hAnsi="Arial" w:cs="Arial"/>
          <w:sz w:val="20"/>
          <w:szCs w:val="20"/>
        </w:rPr>
        <w:t>ria předběžné podmínky a lze ji </w:t>
      </w:r>
      <w:r w:rsidR="000F5970" w:rsidRPr="001414DB">
        <w:rPr>
          <w:rFonts w:ascii="Arial" w:hAnsi="Arial" w:cs="Arial"/>
          <w:sz w:val="20"/>
          <w:szCs w:val="20"/>
        </w:rPr>
        <w:t xml:space="preserve">ze strany ČR </w:t>
      </w:r>
      <w:r w:rsidR="003F390F" w:rsidRPr="001414DB">
        <w:rPr>
          <w:rFonts w:ascii="Arial" w:hAnsi="Arial" w:cs="Arial"/>
          <w:sz w:val="20"/>
          <w:szCs w:val="20"/>
        </w:rPr>
        <w:t>považovat za částečně splněnou.</w:t>
      </w:r>
      <w:r w:rsidR="00E855A3" w:rsidRPr="001414DB">
        <w:rPr>
          <w:rFonts w:ascii="Arial" w:hAnsi="Arial" w:cs="Arial"/>
          <w:sz w:val="20"/>
          <w:szCs w:val="20"/>
        </w:rPr>
        <w:t xml:space="preserve"> </w:t>
      </w:r>
      <w:r w:rsidR="006D509B" w:rsidRPr="001414DB">
        <w:rPr>
          <w:rFonts w:ascii="Arial" w:hAnsi="Arial" w:cs="Arial"/>
          <w:sz w:val="20"/>
          <w:szCs w:val="20"/>
        </w:rPr>
        <w:t xml:space="preserve">Koncepce veřejné dopravy byla zaslána na EK k verifikaci. Nyní se očekává </w:t>
      </w:r>
      <w:r w:rsidR="006E04DD" w:rsidRPr="001414DB">
        <w:rPr>
          <w:rFonts w:ascii="Arial" w:hAnsi="Arial" w:cs="Arial"/>
          <w:sz w:val="20"/>
          <w:szCs w:val="20"/>
        </w:rPr>
        <w:t xml:space="preserve">její </w:t>
      </w:r>
      <w:r w:rsidR="006D509B" w:rsidRPr="001414DB">
        <w:rPr>
          <w:rFonts w:ascii="Arial" w:hAnsi="Arial" w:cs="Arial"/>
          <w:sz w:val="20"/>
          <w:szCs w:val="20"/>
        </w:rPr>
        <w:t>vyjádření</w:t>
      </w:r>
      <w:r w:rsidR="006E04DD" w:rsidRPr="001414DB">
        <w:rPr>
          <w:rFonts w:ascii="Arial" w:hAnsi="Arial" w:cs="Arial"/>
          <w:sz w:val="20"/>
          <w:szCs w:val="20"/>
        </w:rPr>
        <w:t>.</w:t>
      </w:r>
    </w:p>
    <w:p w:rsidR="0007350D" w:rsidRPr="001414DB" w:rsidRDefault="00E07C52" w:rsidP="001414DB">
      <w:pPr>
        <w:pStyle w:val="TextNOK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U PP 7.3 EK nově požaduje do naplňování zařadit K</w:t>
      </w:r>
      <w:r w:rsidR="00906B78" w:rsidRPr="001414DB">
        <w:rPr>
          <w:rFonts w:ascii="Arial" w:hAnsi="Arial" w:cs="Arial"/>
          <w:sz w:val="20"/>
          <w:szCs w:val="20"/>
        </w:rPr>
        <w:t>oncepci vodní dopravy, která by </w:t>
      </w:r>
      <w:r w:rsidRPr="001414DB">
        <w:rPr>
          <w:rFonts w:ascii="Arial" w:hAnsi="Arial" w:cs="Arial"/>
          <w:sz w:val="20"/>
          <w:szCs w:val="20"/>
        </w:rPr>
        <w:t>měla být vládě předložena do konce roku 2015</w:t>
      </w:r>
      <w:r w:rsidR="00583085" w:rsidRPr="001414DB">
        <w:rPr>
          <w:rFonts w:ascii="Arial" w:hAnsi="Arial" w:cs="Arial"/>
          <w:sz w:val="20"/>
          <w:szCs w:val="20"/>
        </w:rPr>
        <w:t>. A</w:t>
      </w:r>
      <w:r w:rsidR="00962FBE" w:rsidRPr="001414DB">
        <w:rPr>
          <w:rFonts w:ascii="Arial" w:hAnsi="Arial" w:cs="Arial"/>
          <w:sz w:val="20"/>
          <w:szCs w:val="20"/>
        </w:rPr>
        <w:t xml:space="preserve">ktuálně se připravuje vnitroresortní připomínkové řízení, do MPŘ </w:t>
      </w:r>
      <w:r w:rsidR="009D6C7D" w:rsidRPr="001414DB">
        <w:rPr>
          <w:rFonts w:ascii="Arial" w:hAnsi="Arial" w:cs="Arial"/>
          <w:sz w:val="20"/>
          <w:szCs w:val="20"/>
        </w:rPr>
        <w:t>bude dokument předložen následně</w:t>
      </w:r>
      <w:r w:rsidR="00962FBE" w:rsidRPr="001414DB">
        <w:rPr>
          <w:rFonts w:ascii="Arial" w:hAnsi="Arial" w:cs="Arial"/>
          <w:sz w:val="20"/>
          <w:szCs w:val="20"/>
        </w:rPr>
        <w:t>.</w:t>
      </w:r>
      <w:r w:rsidRPr="001414DB">
        <w:rPr>
          <w:rFonts w:ascii="Arial" w:hAnsi="Arial" w:cs="Arial"/>
          <w:sz w:val="20"/>
          <w:szCs w:val="20"/>
        </w:rPr>
        <w:t xml:space="preserve"> </w:t>
      </w:r>
    </w:p>
    <w:p w:rsidR="00E07C52" w:rsidRPr="001414DB" w:rsidRDefault="00E07C52" w:rsidP="001414DB">
      <w:pPr>
        <w:pStyle w:val="TextNOK"/>
        <w:numPr>
          <w:ilvl w:val="0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Opatření v rámci obou předběžných podmínek </w:t>
      </w:r>
      <w:r w:rsidR="0007350D" w:rsidRPr="001414DB">
        <w:rPr>
          <w:rFonts w:ascii="Arial" w:hAnsi="Arial" w:cs="Arial"/>
          <w:sz w:val="20"/>
          <w:szCs w:val="20"/>
        </w:rPr>
        <w:t xml:space="preserve">7.2 a 7.3 </w:t>
      </w:r>
      <w:r w:rsidRPr="001414DB">
        <w:rPr>
          <w:rFonts w:ascii="Arial" w:hAnsi="Arial" w:cs="Arial"/>
          <w:sz w:val="20"/>
          <w:szCs w:val="20"/>
        </w:rPr>
        <w:t>týkající se posílení kapacity hlavních příjemců a zprostředkujícího subjektu určených v</w:t>
      </w:r>
      <w:r w:rsidR="00DD62AC" w:rsidRPr="001414DB">
        <w:rPr>
          <w:rFonts w:ascii="Arial" w:hAnsi="Arial" w:cs="Arial"/>
          <w:sz w:val="20"/>
          <w:szCs w:val="20"/>
        </w:rPr>
        <w:t> </w:t>
      </w:r>
      <w:r w:rsidRPr="001414DB">
        <w:rPr>
          <w:rFonts w:ascii="Arial" w:hAnsi="Arial" w:cs="Arial"/>
          <w:sz w:val="20"/>
          <w:szCs w:val="20"/>
        </w:rPr>
        <w:t>příloze akčního p</w:t>
      </w:r>
      <w:r w:rsidR="001414DB">
        <w:rPr>
          <w:rFonts w:ascii="Arial" w:hAnsi="Arial" w:cs="Arial"/>
          <w:sz w:val="20"/>
          <w:szCs w:val="20"/>
        </w:rPr>
        <w:t>lánu „Souhrn analýzy kapacity a </w:t>
      </w:r>
      <w:r w:rsidRPr="001414DB">
        <w:rPr>
          <w:rFonts w:ascii="Arial" w:hAnsi="Arial" w:cs="Arial"/>
          <w:sz w:val="20"/>
          <w:szCs w:val="20"/>
        </w:rPr>
        <w:t>návrh opatření k zajištění způsobilosti zprostředkujících subjektů a příjemců realizovat projekty“ bude splněno do 30. září 2016.</w:t>
      </w:r>
    </w:p>
    <w:p w:rsidR="00906B78" w:rsidRPr="001414DB" w:rsidRDefault="00906B78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</w:p>
    <w:p w:rsidR="00146535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>T 8.5</w:t>
      </w:r>
      <w:r w:rsidR="00BA2913" w:rsidRPr="001414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6535" w:rsidRPr="001414DB">
        <w:rPr>
          <w:rFonts w:ascii="Arial" w:hAnsi="Arial" w:cs="Arial"/>
          <w:b/>
          <w:sz w:val="20"/>
          <w:szCs w:val="20"/>
          <w:u w:val="single"/>
        </w:rPr>
        <w:t xml:space="preserve">Pomoc pracovníkům, podnikům a podnikatelům </w:t>
      </w:r>
    </w:p>
    <w:p w:rsidR="00E07C52" w:rsidRPr="001414DB" w:rsidRDefault="00E07C52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ministerstvo práce a sociálních věcí)</w:t>
      </w:r>
    </w:p>
    <w:p w:rsidR="00E07C52" w:rsidRPr="001414DB" w:rsidRDefault="00E07C52" w:rsidP="001414DB">
      <w:pPr>
        <w:numPr>
          <w:ilvl w:val="0"/>
          <w:numId w:val="6"/>
        </w:numPr>
        <w:spacing w:before="0"/>
        <w:ind w:left="284" w:hanging="28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 rámci </w:t>
      </w:r>
      <w:r w:rsidR="004C3FDB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PP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8.5 bude například nutné zavést systém vyhodnocování a předvídání kvalifikačních potřeb </w:t>
      </w:r>
      <w:r w:rsidR="00413415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 rámci projektu Předvídání kvalifikačních potřeb</w:t>
      </w:r>
      <w:r w:rsidR="00B6525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 kdy v květnu 2015 proběhlo zajištění a</w:t>
      </w:r>
      <w:r w:rsidR="00DD62A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="00B6525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získání potřebných dat a informací pro metodiku. T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ermín splnění je </w:t>
      </w:r>
      <w:r w:rsidR="009F7174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 souladu s akčním plánem k předběžné podmínce 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gestorem stanoven na</w:t>
      </w:r>
      <w:r w:rsidR="00DD62AC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  <w:r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říjen 2015</w:t>
      </w:r>
      <w:r w:rsidR="00B6525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 pokud</w:t>
      </w:r>
      <w:r w:rsid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ale dodavatel nesplní včas své </w:t>
      </w:r>
      <w:r w:rsidR="00B65250" w:rsidRPr="001414D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výstupy, hrozí riziko prodloužení realizace projektu na listopad 2015.</w:t>
      </w:r>
    </w:p>
    <w:p w:rsidR="00906B78" w:rsidRPr="001414DB" w:rsidRDefault="00906B78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</w:p>
    <w:p w:rsidR="00906B78" w:rsidRPr="001414DB" w:rsidRDefault="00146535" w:rsidP="001414DB">
      <w:pPr>
        <w:keepNext/>
        <w:spacing w:before="0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>T 9.2 Politika z</w:t>
      </w:r>
      <w:r w:rsidR="00E07C52" w:rsidRPr="001414DB">
        <w:rPr>
          <w:rFonts w:ascii="Arial" w:hAnsi="Arial" w:cs="Arial"/>
          <w:b/>
          <w:sz w:val="20"/>
          <w:szCs w:val="20"/>
          <w:u w:val="single"/>
        </w:rPr>
        <w:t>ačleňování Romů</w:t>
      </w:r>
      <w:r w:rsidR="00E07C52" w:rsidRPr="001414DB">
        <w:rPr>
          <w:rFonts w:ascii="Arial" w:hAnsi="Arial" w:cs="Arial"/>
          <w:b/>
          <w:sz w:val="20"/>
          <w:szCs w:val="20"/>
        </w:rPr>
        <w:t xml:space="preserve"> </w:t>
      </w:r>
    </w:p>
    <w:p w:rsidR="00E07C52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</w:rPr>
        <w:t>(gestor: Úřad vlády ČR)</w:t>
      </w:r>
    </w:p>
    <w:p w:rsidR="003F5E47" w:rsidRPr="001414DB" w:rsidRDefault="00CE2297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Dne </w:t>
      </w:r>
      <w:r w:rsidR="00E07C52" w:rsidRPr="001414DB">
        <w:rPr>
          <w:rFonts w:ascii="Arial" w:hAnsi="Arial" w:cs="Arial"/>
          <w:sz w:val="20"/>
          <w:szCs w:val="20"/>
        </w:rPr>
        <w:t>3. června 2015</w:t>
      </w:r>
      <w:r w:rsidRPr="001414DB">
        <w:rPr>
          <w:rFonts w:ascii="Arial" w:hAnsi="Arial" w:cs="Arial"/>
          <w:sz w:val="20"/>
          <w:szCs w:val="20"/>
        </w:rPr>
        <w:t xml:space="preserve"> se uskutečnilo na ÚV</w:t>
      </w:r>
      <w:r w:rsidR="00E07C52" w:rsidRPr="001414DB">
        <w:rPr>
          <w:rFonts w:ascii="Arial" w:hAnsi="Arial" w:cs="Arial"/>
          <w:sz w:val="20"/>
          <w:szCs w:val="20"/>
        </w:rPr>
        <w:t xml:space="preserve"> jednání pracovní skupiny, kde </w:t>
      </w:r>
      <w:r w:rsidRPr="001414DB">
        <w:rPr>
          <w:rFonts w:ascii="Arial" w:hAnsi="Arial" w:cs="Arial"/>
          <w:sz w:val="20"/>
          <w:szCs w:val="20"/>
        </w:rPr>
        <w:t xml:space="preserve">byla </w:t>
      </w:r>
      <w:r w:rsidR="00E07C52" w:rsidRPr="001414DB">
        <w:rPr>
          <w:rFonts w:ascii="Arial" w:hAnsi="Arial" w:cs="Arial"/>
          <w:sz w:val="20"/>
          <w:szCs w:val="20"/>
        </w:rPr>
        <w:t>mimo jiné řešen</w:t>
      </w:r>
      <w:r w:rsidRPr="001414DB">
        <w:rPr>
          <w:rFonts w:ascii="Arial" w:hAnsi="Arial" w:cs="Arial"/>
          <w:sz w:val="20"/>
          <w:szCs w:val="20"/>
        </w:rPr>
        <w:t>a</w:t>
      </w:r>
      <w:r w:rsidR="00E07C52" w:rsidRPr="001414DB">
        <w:rPr>
          <w:rFonts w:ascii="Arial" w:hAnsi="Arial" w:cs="Arial"/>
          <w:sz w:val="20"/>
          <w:szCs w:val="20"/>
        </w:rPr>
        <w:t xml:space="preserve"> příprava Metodiky hodnocení a monitoringu Strategie roms</w:t>
      </w:r>
      <w:r w:rsidR="0090371E" w:rsidRPr="001414DB">
        <w:rPr>
          <w:rFonts w:ascii="Arial" w:hAnsi="Arial" w:cs="Arial"/>
          <w:sz w:val="20"/>
          <w:szCs w:val="20"/>
        </w:rPr>
        <w:t>ké integrace do roku 2020. Tato </w:t>
      </w:r>
      <w:r w:rsidR="00E07C52" w:rsidRPr="001414DB">
        <w:rPr>
          <w:rFonts w:ascii="Arial" w:hAnsi="Arial" w:cs="Arial"/>
          <w:sz w:val="20"/>
          <w:szCs w:val="20"/>
        </w:rPr>
        <w:t xml:space="preserve">problematika </w:t>
      </w:r>
      <w:r w:rsidR="00DA3F8E" w:rsidRPr="001414DB">
        <w:rPr>
          <w:rFonts w:ascii="Arial" w:hAnsi="Arial" w:cs="Arial"/>
          <w:sz w:val="20"/>
          <w:szCs w:val="20"/>
        </w:rPr>
        <w:t xml:space="preserve">je </w:t>
      </w:r>
      <w:r w:rsidR="00E840D3" w:rsidRPr="001414DB">
        <w:rPr>
          <w:rFonts w:ascii="Arial" w:hAnsi="Arial" w:cs="Arial"/>
          <w:sz w:val="20"/>
          <w:szCs w:val="20"/>
        </w:rPr>
        <w:t xml:space="preserve">nadále </w:t>
      </w:r>
      <w:r w:rsidR="00E07C52" w:rsidRPr="001414DB">
        <w:rPr>
          <w:rFonts w:ascii="Arial" w:hAnsi="Arial" w:cs="Arial"/>
          <w:sz w:val="20"/>
          <w:szCs w:val="20"/>
        </w:rPr>
        <w:t xml:space="preserve">řešena v rámci samostatné skupiny, jejíž ustavení </w:t>
      </w:r>
      <w:r w:rsidR="00DA3F8E" w:rsidRPr="001414DB">
        <w:rPr>
          <w:rFonts w:ascii="Arial" w:hAnsi="Arial" w:cs="Arial"/>
          <w:sz w:val="20"/>
          <w:szCs w:val="20"/>
        </w:rPr>
        <w:t>proběhlo v</w:t>
      </w:r>
      <w:r w:rsidR="001E3F9E" w:rsidRPr="001414DB">
        <w:rPr>
          <w:rFonts w:ascii="Arial" w:hAnsi="Arial" w:cs="Arial"/>
          <w:sz w:val="20"/>
          <w:szCs w:val="20"/>
        </w:rPr>
        <w:t xml:space="preserve"> červn</w:t>
      </w:r>
      <w:r w:rsidR="00DA3F8E" w:rsidRPr="001414DB">
        <w:rPr>
          <w:rFonts w:ascii="Arial" w:hAnsi="Arial" w:cs="Arial"/>
          <w:sz w:val="20"/>
          <w:szCs w:val="20"/>
        </w:rPr>
        <w:t>u</w:t>
      </w:r>
      <w:r w:rsidR="001E3F9E" w:rsidRPr="001414DB">
        <w:rPr>
          <w:rFonts w:ascii="Arial" w:hAnsi="Arial" w:cs="Arial"/>
          <w:sz w:val="20"/>
          <w:szCs w:val="20"/>
        </w:rPr>
        <w:t xml:space="preserve"> 2015.</w:t>
      </w:r>
      <w:r w:rsidR="00C02BAE" w:rsidRPr="001414DB">
        <w:rPr>
          <w:rFonts w:ascii="Arial" w:hAnsi="Arial" w:cs="Arial"/>
          <w:sz w:val="20"/>
          <w:szCs w:val="20"/>
        </w:rPr>
        <w:t xml:space="preserve"> V současné době probíhá ve spolupráci s dotčenými resorty příprava </w:t>
      </w:r>
      <w:r w:rsidR="001414DB">
        <w:rPr>
          <w:rFonts w:ascii="Arial" w:eastAsia="Arial Unicode MS" w:hAnsi="Arial" w:cs="Arial"/>
          <w:sz w:val="20"/>
          <w:szCs w:val="20"/>
        </w:rPr>
        <w:t>indikátorové soustavy k </w:t>
      </w:r>
      <w:r w:rsidR="00C02BAE" w:rsidRPr="001414DB">
        <w:rPr>
          <w:rFonts w:ascii="Arial" w:eastAsia="Arial Unicode MS" w:hAnsi="Arial" w:cs="Arial"/>
          <w:sz w:val="20"/>
          <w:szCs w:val="20"/>
        </w:rPr>
        <w:t>jednotlivým specifickým cílům Strategie romské integrace do roku 2020.</w:t>
      </w:r>
      <w:r w:rsidR="001E3F9E" w:rsidRPr="001414DB">
        <w:rPr>
          <w:rFonts w:ascii="Arial" w:hAnsi="Arial" w:cs="Arial"/>
          <w:sz w:val="20"/>
          <w:szCs w:val="20"/>
        </w:rPr>
        <w:t xml:space="preserve"> </w:t>
      </w:r>
      <w:r w:rsidR="0090371E" w:rsidRPr="001414DB">
        <w:rPr>
          <w:rFonts w:ascii="Arial" w:hAnsi="Arial" w:cs="Arial"/>
          <w:sz w:val="20"/>
          <w:szCs w:val="20"/>
        </w:rPr>
        <w:t>Návrhy indikátorů za </w:t>
      </w:r>
      <w:r w:rsidR="00FC303F" w:rsidRPr="001414DB">
        <w:rPr>
          <w:rFonts w:ascii="Arial" w:hAnsi="Arial" w:cs="Arial"/>
          <w:sz w:val="20"/>
          <w:szCs w:val="20"/>
        </w:rPr>
        <w:t xml:space="preserve">jednotlivé oblasti jsou </w:t>
      </w:r>
      <w:r w:rsidR="003F5E47" w:rsidRPr="001414DB">
        <w:rPr>
          <w:rFonts w:ascii="Arial" w:hAnsi="Arial" w:cs="Arial"/>
          <w:sz w:val="20"/>
          <w:szCs w:val="20"/>
        </w:rPr>
        <w:t xml:space="preserve">průběžně </w:t>
      </w:r>
      <w:r w:rsidR="00FC303F" w:rsidRPr="001414DB">
        <w:rPr>
          <w:rFonts w:ascii="Arial" w:hAnsi="Arial" w:cs="Arial"/>
          <w:sz w:val="20"/>
          <w:szCs w:val="20"/>
        </w:rPr>
        <w:t xml:space="preserve">konzultovány na jednání pracovní skupiny. </w:t>
      </w:r>
      <w:r w:rsidR="003F5E47" w:rsidRPr="001414DB">
        <w:rPr>
          <w:rFonts w:ascii="Arial" w:hAnsi="Arial" w:cs="Arial"/>
          <w:sz w:val="20"/>
          <w:szCs w:val="20"/>
        </w:rPr>
        <w:t xml:space="preserve"> V červenci 2015 došlo k </w:t>
      </w:r>
      <w:r w:rsidR="003F5E47" w:rsidRPr="001414DB">
        <w:rPr>
          <w:rFonts w:ascii="Arial" w:eastAsia="Arial Unicode MS" w:hAnsi="Arial" w:cs="Arial"/>
          <w:sz w:val="20"/>
          <w:szCs w:val="20"/>
        </w:rPr>
        <w:t>oslovení ŘO a věcných útvarů k návrhu indikátorů v jed</w:t>
      </w:r>
      <w:r w:rsidR="001414DB">
        <w:rPr>
          <w:rFonts w:ascii="Arial" w:eastAsia="Arial Unicode MS" w:hAnsi="Arial" w:cs="Arial"/>
          <w:sz w:val="20"/>
          <w:szCs w:val="20"/>
        </w:rPr>
        <w:t>notlivých oblastech s žádostí o </w:t>
      </w:r>
      <w:r w:rsidR="003F5E47" w:rsidRPr="001414DB">
        <w:rPr>
          <w:rFonts w:ascii="Arial" w:eastAsia="Arial Unicode MS" w:hAnsi="Arial" w:cs="Arial"/>
          <w:sz w:val="20"/>
          <w:szCs w:val="20"/>
        </w:rPr>
        <w:t xml:space="preserve">zpětnou vazbu k navrženým indikátorům plnění Strategie romské integrace do roku 2020. </w:t>
      </w:r>
      <w:r w:rsidR="00174C24" w:rsidRPr="001414DB">
        <w:rPr>
          <w:rFonts w:ascii="Arial" w:hAnsi="Arial" w:cs="Arial"/>
          <w:sz w:val="20"/>
          <w:szCs w:val="20"/>
        </w:rPr>
        <w:t>Pracovní verze M</w:t>
      </w:r>
      <w:r w:rsidR="003F5E47" w:rsidRPr="001414DB">
        <w:rPr>
          <w:rFonts w:ascii="Arial" w:hAnsi="Arial" w:cs="Arial"/>
          <w:sz w:val="20"/>
          <w:szCs w:val="20"/>
        </w:rPr>
        <w:t>etodiky by měla být zaslán</w:t>
      </w:r>
      <w:r w:rsidR="00174C24" w:rsidRPr="001414DB">
        <w:rPr>
          <w:rFonts w:ascii="Arial" w:hAnsi="Arial" w:cs="Arial"/>
          <w:sz w:val="20"/>
          <w:szCs w:val="20"/>
        </w:rPr>
        <w:t xml:space="preserve">a do </w:t>
      </w:r>
      <w:r w:rsidR="003F5E47" w:rsidRPr="001414DB">
        <w:rPr>
          <w:rFonts w:ascii="Arial" w:hAnsi="Arial" w:cs="Arial"/>
          <w:sz w:val="20"/>
          <w:szCs w:val="20"/>
        </w:rPr>
        <w:t>přip</w:t>
      </w:r>
      <w:r w:rsidR="00174C24" w:rsidRPr="001414DB">
        <w:rPr>
          <w:rFonts w:ascii="Arial" w:hAnsi="Arial" w:cs="Arial"/>
          <w:sz w:val="20"/>
          <w:szCs w:val="20"/>
        </w:rPr>
        <w:t>omínkovéh</w:t>
      </w:r>
      <w:r w:rsidR="001414DB">
        <w:rPr>
          <w:rFonts w:ascii="Arial" w:hAnsi="Arial" w:cs="Arial"/>
          <w:sz w:val="20"/>
          <w:szCs w:val="20"/>
        </w:rPr>
        <w:t>o řízení na přelomu listopadu a </w:t>
      </w:r>
      <w:r w:rsidR="00174C24" w:rsidRPr="001414DB">
        <w:rPr>
          <w:rFonts w:ascii="Arial" w:hAnsi="Arial" w:cs="Arial"/>
          <w:sz w:val="20"/>
          <w:szCs w:val="20"/>
        </w:rPr>
        <w:t>prosince 2015.</w:t>
      </w:r>
      <w:r w:rsidR="003F5E47" w:rsidRPr="001414DB">
        <w:rPr>
          <w:rFonts w:ascii="Arial" w:hAnsi="Arial" w:cs="Arial"/>
          <w:sz w:val="20"/>
          <w:szCs w:val="20"/>
        </w:rPr>
        <w:t xml:space="preserve"> </w:t>
      </w:r>
    </w:p>
    <w:p w:rsidR="00906B78" w:rsidRPr="001414DB" w:rsidRDefault="00906B78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</w:rPr>
      </w:pPr>
    </w:p>
    <w:p w:rsidR="00906B78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b/>
          <w:sz w:val="20"/>
          <w:szCs w:val="20"/>
          <w:u w:val="single"/>
        </w:rPr>
        <w:t>T 9.3 Zdraví</w:t>
      </w:r>
      <w:r w:rsidRPr="001414DB">
        <w:rPr>
          <w:rFonts w:ascii="Arial" w:hAnsi="Arial" w:cs="Arial"/>
          <w:b/>
          <w:sz w:val="20"/>
          <w:szCs w:val="20"/>
        </w:rPr>
        <w:t xml:space="preserve"> </w:t>
      </w:r>
    </w:p>
    <w:p w:rsidR="00E07C52" w:rsidRPr="001414DB" w:rsidRDefault="00E07C52" w:rsidP="001414DB">
      <w:pPr>
        <w:keepNext/>
        <w:spacing w:before="0"/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ministerstvo zdravotnictví)</w:t>
      </w:r>
    </w:p>
    <w:p w:rsidR="00E07C52" w:rsidRPr="001414DB" w:rsidRDefault="00E07C52" w:rsidP="001414DB">
      <w:pPr>
        <w:pStyle w:val="Odstavecseseznamem"/>
        <w:numPr>
          <w:ilvl w:val="0"/>
          <w:numId w:val="23"/>
        </w:numPr>
        <w:spacing w:before="0" w:after="0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1414DB">
        <w:rPr>
          <w:rFonts w:ascii="Arial" w:hAnsi="Arial" w:cs="Arial"/>
          <w:sz w:val="20"/>
          <w:szCs w:val="20"/>
        </w:rPr>
        <w:t>Akční plány</w:t>
      </w:r>
      <w:r w:rsidR="0007350D" w:rsidRPr="001414DB">
        <w:rPr>
          <w:rFonts w:ascii="Arial" w:hAnsi="Arial" w:cs="Arial"/>
          <w:sz w:val="20"/>
          <w:szCs w:val="20"/>
        </w:rPr>
        <w:t xml:space="preserve"> pro implementaci Zdraví 2020</w:t>
      </w:r>
      <w:r w:rsidR="00CA3ADE" w:rsidRPr="001414DB">
        <w:rPr>
          <w:rFonts w:ascii="Arial" w:hAnsi="Arial" w:cs="Arial"/>
          <w:sz w:val="20"/>
          <w:szCs w:val="20"/>
        </w:rPr>
        <w:t>, které obsahují popis stávajícího stavu, stanovení cílů a popis opatření, vč. finančního rámce, harmonogramu a</w:t>
      </w:r>
      <w:r w:rsidRPr="001414DB">
        <w:rPr>
          <w:rFonts w:ascii="Arial" w:hAnsi="Arial" w:cs="Arial"/>
          <w:sz w:val="20"/>
          <w:szCs w:val="20"/>
        </w:rPr>
        <w:t xml:space="preserve"> </w:t>
      </w:r>
      <w:r w:rsidR="0019582F" w:rsidRPr="001414DB">
        <w:rPr>
          <w:rFonts w:ascii="Arial" w:hAnsi="Arial" w:cs="Arial"/>
          <w:sz w:val="20"/>
          <w:szCs w:val="20"/>
        </w:rPr>
        <w:t xml:space="preserve">byly </w:t>
      </w:r>
      <w:r w:rsidR="00CA3ADE" w:rsidRPr="001414DB">
        <w:rPr>
          <w:rFonts w:ascii="Arial" w:eastAsia="Times New Roman" w:hAnsi="Arial" w:cs="Arial"/>
          <w:sz w:val="20"/>
          <w:szCs w:val="20"/>
        </w:rPr>
        <w:t xml:space="preserve">schváleny poradou vedení </w:t>
      </w:r>
      <w:proofErr w:type="spellStart"/>
      <w:r w:rsidR="0090371E" w:rsidRPr="001414DB">
        <w:rPr>
          <w:rFonts w:ascii="Arial" w:eastAsia="Times New Roman" w:hAnsi="Arial" w:cs="Arial"/>
          <w:sz w:val="20"/>
          <w:szCs w:val="20"/>
        </w:rPr>
        <w:t>MZdr</w:t>
      </w:r>
      <w:proofErr w:type="spellEnd"/>
      <w:r w:rsidR="0090371E" w:rsidRPr="001414DB">
        <w:rPr>
          <w:rFonts w:ascii="Arial" w:eastAsia="Times New Roman" w:hAnsi="Arial" w:cs="Arial"/>
          <w:sz w:val="20"/>
          <w:szCs w:val="20"/>
        </w:rPr>
        <w:t xml:space="preserve">. </w:t>
      </w:r>
      <w:r w:rsidR="00CA3ADE" w:rsidRPr="001414DB">
        <w:rPr>
          <w:rFonts w:ascii="Arial" w:eastAsia="Times New Roman" w:hAnsi="Arial" w:cs="Arial"/>
          <w:sz w:val="20"/>
          <w:szCs w:val="20"/>
        </w:rPr>
        <w:t xml:space="preserve">(26. června 2015) a byly předloženy </w:t>
      </w:r>
      <w:r w:rsidR="0007350D" w:rsidRPr="001414DB">
        <w:rPr>
          <w:rFonts w:ascii="Arial" w:eastAsia="Times New Roman" w:hAnsi="Arial" w:cs="Arial"/>
          <w:sz w:val="20"/>
          <w:szCs w:val="20"/>
        </w:rPr>
        <w:t>k pro</w:t>
      </w:r>
      <w:r w:rsidR="00CA3ADE" w:rsidRPr="001414DB">
        <w:rPr>
          <w:rFonts w:ascii="Arial" w:eastAsia="Times New Roman" w:hAnsi="Arial" w:cs="Arial"/>
          <w:sz w:val="20"/>
          <w:szCs w:val="20"/>
        </w:rPr>
        <w:t>jednání vlád</w:t>
      </w:r>
      <w:r w:rsidR="0007350D" w:rsidRPr="001414DB">
        <w:rPr>
          <w:rFonts w:ascii="Arial" w:eastAsia="Times New Roman" w:hAnsi="Arial" w:cs="Arial"/>
          <w:sz w:val="20"/>
          <w:szCs w:val="20"/>
        </w:rPr>
        <w:t xml:space="preserve">ou dne 20. </w:t>
      </w:r>
      <w:r w:rsidR="00174C24" w:rsidRPr="001414DB">
        <w:rPr>
          <w:rFonts w:ascii="Arial" w:eastAsia="Times New Roman" w:hAnsi="Arial" w:cs="Arial"/>
          <w:sz w:val="20"/>
          <w:szCs w:val="20"/>
        </w:rPr>
        <w:t>s</w:t>
      </w:r>
      <w:r w:rsidR="0007350D" w:rsidRPr="001414DB">
        <w:rPr>
          <w:rFonts w:ascii="Arial" w:eastAsia="Times New Roman" w:hAnsi="Arial" w:cs="Arial"/>
          <w:sz w:val="20"/>
          <w:szCs w:val="20"/>
        </w:rPr>
        <w:t>rpna 2015 (bez rozpravy)</w:t>
      </w:r>
      <w:r w:rsidR="005A6E49">
        <w:rPr>
          <w:rFonts w:ascii="Arial" w:eastAsia="Times New Roman" w:hAnsi="Arial" w:cs="Arial"/>
          <w:sz w:val="20"/>
          <w:szCs w:val="20"/>
        </w:rPr>
        <w:t>, které </w:t>
      </w:r>
      <w:r w:rsidR="00CC1898" w:rsidRPr="001414DB">
        <w:rPr>
          <w:rFonts w:ascii="Arial" w:eastAsia="Times New Roman" w:hAnsi="Arial" w:cs="Arial"/>
          <w:sz w:val="20"/>
          <w:szCs w:val="20"/>
        </w:rPr>
        <w:t xml:space="preserve">vláda ČR vzala na vědomí svým usnesením č. 671. </w:t>
      </w:r>
      <w:r w:rsidR="004D3DC3" w:rsidRPr="001414DB">
        <w:rPr>
          <w:rFonts w:ascii="Arial" w:eastAsia="Calibri" w:hAnsi="Arial" w:cs="Arial"/>
          <w:sz w:val="20"/>
          <w:szCs w:val="20"/>
        </w:rPr>
        <w:t>Zdržení oproti předpokládanému termínu</w:t>
      </w:r>
      <w:r w:rsidR="006E04DD" w:rsidRPr="001414DB">
        <w:rPr>
          <w:rFonts w:ascii="Arial" w:eastAsia="Calibri" w:hAnsi="Arial" w:cs="Arial"/>
          <w:sz w:val="20"/>
          <w:szCs w:val="20"/>
        </w:rPr>
        <w:t xml:space="preserve"> </w:t>
      </w:r>
      <w:r w:rsidR="001414DB">
        <w:rPr>
          <w:rFonts w:ascii="Arial" w:eastAsia="Calibri" w:hAnsi="Arial" w:cs="Arial"/>
          <w:sz w:val="20"/>
          <w:szCs w:val="20"/>
        </w:rPr>
        <w:br/>
      </w:r>
      <w:r w:rsidR="006E04DD" w:rsidRPr="001414DB">
        <w:rPr>
          <w:rFonts w:ascii="Arial" w:eastAsia="Calibri" w:hAnsi="Arial" w:cs="Arial"/>
          <w:sz w:val="20"/>
          <w:szCs w:val="20"/>
        </w:rPr>
        <w:t>(31. červenec</w:t>
      </w:r>
      <w:r w:rsidR="00CE1D48" w:rsidRPr="001414DB">
        <w:rPr>
          <w:rFonts w:ascii="Arial" w:eastAsia="Calibri" w:hAnsi="Arial" w:cs="Arial"/>
          <w:sz w:val="20"/>
          <w:szCs w:val="20"/>
        </w:rPr>
        <w:t xml:space="preserve"> 2015)</w:t>
      </w:r>
      <w:r w:rsidR="004D3DC3" w:rsidRPr="001414DB">
        <w:rPr>
          <w:rFonts w:ascii="Arial" w:eastAsia="Calibri" w:hAnsi="Arial" w:cs="Arial"/>
          <w:sz w:val="20"/>
          <w:szCs w:val="20"/>
        </w:rPr>
        <w:t xml:space="preserve"> bylo způsobeno náročným procesem vypořádání připomínek, které byly </w:t>
      </w:r>
      <w:r w:rsidR="004D3DC3" w:rsidRPr="001414DB">
        <w:rPr>
          <w:rFonts w:ascii="Arial" w:eastAsia="Calibri" w:hAnsi="Arial" w:cs="Arial"/>
          <w:sz w:val="20"/>
          <w:szCs w:val="20"/>
        </w:rPr>
        <w:lastRenderedPageBreak/>
        <w:t xml:space="preserve">k dokumentu vzneseny v rámci meziresortního připomínkového řízení. Dokument však byl díky tomu předložen bez rozporů a ve shodě se všemi resorty. </w:t>
      </w:r>
      <w:r w:rsidR="00CA3ADE" w:rsidRPr="001414DB">
        <w:rPr>
          <w:rFonts w:ascii="Arial" w:eastAsia="Times New Roman" w:hAnsi="Arial" w:cs="Arial"/>
          <w:sz w:val="20"/>
          <w:szCs w:val="20"/>
        </w:rPr>
        <w:t xml:space="preserve">Tímto lze PP ze strany </w:t>
      </w:r>
      <w:r w:rsidR="0007350D" w:rsidRPr="001414DB">
        <w:rPr>
          <w:rFonts w:ascii="Arial" w:eastAsia="Times New Roman" w:hAnsi="Arial" w:cs="Arial"/>
          <w:sz w:val="20"/>
          <w:szCs w:val="20"/>
        </w:rPr>
        <w:t>gestora</w:t>
      </w:r>
      <w:r w:rsidR="00CA3ADE" w:rsidRPr="001414DB">
        <w:rPr>
          <w:rFonts w:ascii="Arial" w:eastAsia="Times New Roman" w:hAnsi="Arial" w:cs="Arial"/>
          <w:sz w:val="20"/>
          <w:szCs w:val="20"/>
        </w:rPr>
        <w:t xml:space="preserve"> považovat za splněnou. </w:t>
      </w:r>
      <w:r w:rsidR="00174C24" w:rsidRPr="001414DB">
        <w:rPr>
          <w:rFonts w:ascii="Arial" w:eastAsia="Times New Roman" w:hAnsi="Arial" w:cs="Arial"/>
          <w:sz w:val="20"/>
          <w:szCs w:val="20"/>
          <w:lang w:eastAsia="cs-CZ"/>
        </w:rPr>
        <w:t xml:space="preserve"> Dále bude nutné zaslat přijaté dokumenty na EK k formální verifikaci.</w:t>
      </w:r>
    </w:p>
    <w:p w:rsidR="0007350D" w:rsidRPr="001414DB" w:rsidRDefault="0019582F" w:rsidP="001414DB">
      <w:pPr>
        <w:pStyle w:val="TextNOK"/>
        <w:keepNext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</w:pPr>
      <w:r w:rsidRPr="001414DB">
        <w:rPr>
          <w:rFonts w:ascii="Arial" w:hAnsi="Arial" w:cs="Arial"/>
          <w:sz w:val="20"/>
          <w:szCs w:val="20"/>
        </w:rPr>
        <w:t>V reakci na Čtvrtletní zprávu</w:t>
      </w:r>
      <w:r w:rsidR="0007350D" w:rsidRPr="001414DB">
        <w:rPr>
          <w:rFonts w:ascii="Arial" w:hAnsi="Arial" w:cs="Arial"/>
          <w:sz w:val="20"/>
          <w:szCs w:val="20"/>
        </w:rPr>
        <w:t>,</w:t>
      </w:r>
      <w:r w:rsidRPr="001414DB">
        <w:rPr>
          <w:rFonts w:ascii="Arial" w:hAnsi="Arial" w:cs="Arial"/>
          <w:sz w:val="20"/>
          <w:szCs w:val="20"/>
        </w:rPr>
        <w:t xml:space="preserve"> </w:t>
      </w:r>
      <w:r w:rsidR="0007350D" w:rsidRPr="001414DB">
        <w:rPr>
          <w:rFonts w:ascii="Arial" w:hAnsi="Arial" w:cs="Arial"/>
          <w:sz w:val="20"/>
          <w:szCs w:val="20"/>
        </w:rPr>
        <w:t xml:space="preserve">datovanou k červnu 2015, </w:t>
      </w:r>
      <w:r w:rsidRPr="001414DB">
        <w:rPr>
          <w:rFonts w:ascii="Arial" w:hAnsi="Arial" w:cs="Arial"/>
          <w:sz w:val="20"/>
          <w:szCs w:val="20"/>
        </w:rPr>
        <w:t xml:space="preserve">EK uvedla nesouhlas s naplněním podmínky prostřednictvím předložení Akčních plánů </w:t>
      </w:r>
      <w:r w:rsidR="0007350D" w:rsidRPr="001414DB">
        <w:rPr>
          <w:rFonts w:ascii="Arial" w:hAnsi="Arial" w:cs="Arial"/>
          <w:sz w:val="20"/>
          <w:szCs w:val="20"/>
        </w:rPr>
        <w:t xml:space="preserve">pouze </w:t>
      </w:r>
      <w:r w:rsidRPr="001414DB">
        <w:rPr>
          <w:rFonts w:ascii="Arial" w:hAnsi="Arial" w:cs="Arial"/>
          <w:sz w:val="20"/>
          <w:szCs w:val="20"/>
        </w:rPr>
        <w:t>pro informaci na jednání vlády ČR</w:t>
      </w:r>
      <w:r w:rsidR="0007350D" w:rsidRPr="001414DB">
        <w:rPr>
          <w:rFonts w:ascii="Arial" w:hAnsi="Arial" w:cs="Arial"/>
          <w:sz w:val="20"/>
          <w:szCs w:val="20"/>
        </w:rPr>
        <w:t>, ale</w:t>
      </w:r>
      <w:r w:rsidR="0090371E" w:rsidRPr="001414DB">
        <w:rPr>
          <w:rFonts w:ascii="Arial" w:hAnsi="Arial" w:cs="Arial"/>
          <w:sz w:val="20"/>
          <w:szCs w:val="20"/>
        </w:rPr>
        <w:t> </w:t>
      </w:r>
      <w:r w:rsidR="0007350D" w:rsidRPr="001414DB">
        <w:rPr>
          <w:rFonts w:ascii="Arial" w:hAnsi="Arial" w:cs="Arial"/>
          <w:sz w:val="20"/>
          <w:szCs w:val="20"/>
        </w:rPr>
        <w:t>žádala</w:t>
      </w:r>
      <w:r w:rsidRPr="001414DB">
        <w:rPr>
          <w:rFonts w:ascii="Arial" w:hAnsi="Arial" w:cs="Arial"/>
          <w:sz w:val="20"/>
          <w:szCs w:val="20"/>
        </w:rPr>
        <w:t>, aby byly Akční plány na úrovni vlády</w:t>
      </w:r>
      <w:r w:rsidR="0007350D" w:rsidRPr="001414DB">
        <w:rPr>
          <w:rFonts w:ascii="Arial" w:hAnsi="Arial" w:cs="Arial"/>
          <w:sz w:val="20"/>
          <w:szCs w:val="20"/>
        </w:rPr>
        <w:t xml:space="preserve"> schváleny</w:t>
      </w:r>
      <w:r w:rsidRPr="001414D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414DB">
        <w:rPr>
          <w:rFonts w:ascii="Arial" w:hAnsi="Arial" w:cs="Arial"/>
          <w:sz w:val="20"/>
          <w:szCs w:val="20"/>
        </w:rPr>
        <w:t>MZdr</w:t>
      </w:r>
      <w:proofErr w:type="spellEnd"/>
      <w:r w:rsidR="00847498" w:rsidRPr="001414DB">
        <w:rPr>
          <w:rFonts w:ascii="Arial" w:hAnsi="Arial" w:cs="Arial"/>
          <w:sz w:val="20"/>
          <w:szCs w:val="20"/>
        </w:rPr>
        <w:t>.</w:t>
      </w:r>
      <w:r w:rsidRPr="001414DB">
        <w:rPr>
          <w:rFonts w:ascii="Arial" w:hAnsi="Arial" w:cs="Arial"/>
          <w:sz w:val="20"/>
          <w:szCs w:val="20"/>
        </w:rPr>
        <w:t xml:space="preserve"> zaslalo v této věci na EK nesouhlasnou reakci</w:t>
      </w:r>
      <w:r w:rsidR="00174C24" w:rsidRPr="001414DB">
        <w:rPr>
          <w:rFonts w:ascii="Arial" w:hAnsi="Arial" w:cs="Arial"/>
          <w:sz w:val="20"/>
          <w:szCs w:val="20"/>
        </w:rPr>
        <w:t>.</w:t>
      </w:r>
      <w:r w:rsidR="006E04DD" w:rsidRPr="001414DB">
        <w:rPr>
          <w:rFonts w:ascii="Arial" w:hAnsi="Arial" w:cs="Arial"/>
          <w:sz w:val="20"/>
          <w:szCs w:val="20"/>
        </w:rPr>
        <w:t xml:space="preserve"> Z</w:t>
      </w:r>
      <w:r w:rsidRPr="001414DB">
        <w:rPr>
          <w:rFonts w:ascii="Arial" w:hAnsi="Arial" w:cs="Arial"/>
          <w:sz w:val="20"/>
          <w:szCs w:val="20"/>
        </w:rPr>
        <w:t xml:space="preserve">ástupce </w:t>
      </w:r>
      <w:r w:rsidR="007B20FF" w:rsidRPr="001414DB">
        <w:rPr>
          <w:rFonts w:ascii="Arial" w:hAnsi="Arial" w:cs="Arial"/>
          <w:sz w:val="20"/>
          <w:szCs w:val="20"/>
        </w:rPr>
        <w:t>D</w:t>
      </w:r>
      <w:r w:rsidRPr="001414DB">
        <w:rPr>
          <w:rFonts w:ascii="Arial" w:hAnsi="Arial" w:cs="Arial"/>
          <w:sz w:val="20"/>
          <w:szCs w:val="20"/>
        </w:rPr>
        <w:t xml:space="preserve">G </w:t>
      </w:r>
      <w:proofErr w:type="spellStart"/>
      <w:r w:rsidRPr="001414DB">
        <w:rPr>
          <w:rFonts w:ascii="Arial" w:hAnsi="Arial" w:cs="Arial"/>
          <w:sz w:val="20"/>
          <w:szCs w:val="20"/>
        </w:rPr>
        <w:t>Emplo</w:t>
      </w:r>
      <w:r w:rsidR="00606F47" w:rsidRPr="001414DB">
        <w:rPr>
          <w:rFonts w:ascii="Arial" w:hAnsi="Arial" w:cs="Arial"/>
          <w:sz w:val="20"/>
          <w:szCs w:val="20"/>
        </w:rPr>
        <w:t>y</w:t>
      </w:r>
      <w:r w:rsidRPr="001414DB">
        <w:rPr>
          <w:rFonts w:ascii="Arial" w:hAnsi="Arial" w:cs="Arial"/>
          <w:sz w:val="20"/>
          <w:szCs w:val="20"/>
        </w:rPr>
        <w:t>ment</w:t>
      </w:r>
      <w:proofErr w:type="spellEnd"/>
      <w:r w:rsidRPr="001414DB">
        <w:rPr>
          <w:rFonts w:ascii="Arial" w:hAnsi="Arial" w:cs="Arial"/>
          <w:sz w:val="20"/>
          <w:szCs w:val="20"/>
        </w:rPr>
        <w:t xml:space="preserve"> </w:t>
      </w:r>
      <w:r w:rsidR="00606F47" w:rsidRPr="001414DB">
        <w:rPr>
          <w:rFonts w:ascii="Arial" w:hAnsi="Arial" w:cs="Arial"/>
          <w:sz w:val="20"/>
          <w:szCs w:val="20"/>
        </w:rPr>
        <w:t xml:space="preserve">sdělil, že </w:t>
      </w:r>
      <w:r w:rsidRPr="001414DB">
        <w:rPr>
          <w:rFonts w:ascii="Arial" w:hAnsi="Arial" w:cs="Arial"/>
          <w:sz w:val="20"/>
          <w:szCs w:val="20"/>
        </w:rPr>
        <w:t>záleží na členském státu, na jaké úrovni jsou dokumenty schvalovány a není poža</w:t>
      </w:r>
      <w:r w:rsidR="0090371E" w:rsidRPr="001414DB">
        <w:rPr>
          <w:rFonts w:ascii="Arial" w:hAnsi="Arial" w:cs="Arial"/>
          <w:sz w:val="20"/>
          <w:szCs w:val="20"/>
        </w:rPr>
        <w:t xml:space="preserve">davek EK, aby byly </w:t>
      </w:r>
      <w:r w:rsidR="006E04DD" w:rsidRPr="001414DB">
        <w:rPr>
          <w:rFonts w:ascii="Arial" w:hAnsi="Arial" w:cs="Arial"/>
          <w:sz w:val="20"/>
          <w:szCs w:val="20"/>
        </w:rPr>
        <w:t>schváleny vládou.</w:t>
      </w:r>
      <w:r w:rsidRPr="001414DB">
        <w:rPr>
          <w:rFonts w:ascii="Arial" w:hAnsi="Arial" w:cs="Arial"/>
          <w:sz w:val="20"/>
          <w:szCs w:val="20"/>
        </w:rPr>
        <w:t xml:space="preserve"> </w:t>
      </w:r>
    </w:p>
    <w:p w:rsidR="006E04DD" w:rsidRPr="001414DB" w:rsidRDefault="006E04DD" w:rsidP="001414DB">
      <w:pPr>
        <w:pStyle w:val="TextNOK"/>
        <w:keepNext/>
        <w:spacing w:before="0" w:after="0" w:line="276" w:lineRule="auto"/>
        <w:ind w:left="284" w:hanging="284"/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</w:pPr>
    </w:p>
    <w:p w:rsidR="00906B78" w:rsidRPr="001414DB" w:rsidRDefault="00E07C52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</w:pPr>
      <w:r w:rsidRPr="001414DB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  <w:t xml:space="preserve">T 10.1, 10.3, </w:t>
      </w:r>
      <w:r w:rsidR="00146535" w:rsidRPr="001414DB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  <w:t>Ukončování školní docházky, Celoživotní učení</w:t>
      </w:r>
    </w:p>
    <w:p w:rsidR="00E07C52" w:rsidRPr="001414DB" w:rsidRDefault="00E07C52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ministerstvo školství, mládeže a tělovýchovy)</w:t>
      </w:r>
    </w:p>
    <w:p w:rsidR="00906B78" w:rsidRPr="001414DB" w:rsidRDefault="00606F47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Na jednání v</w:t>
      </w:r>
      <w:r w:rsidR="00CE2297" w:rsidRPr="001414DB">
        <w:rPr>
          <w:rFonts w:ascii="Arial" w:hAnsi="Arial" w:cs="Arial"/>
          <w:sz w:val="20"/>
          <w:szCs w:val="20"/>
        </w:rPr>
        <w:t>lád</w:t>
      </w:r>
      <w:r w:rsidRPr="001414DB">
        <w:rPr>
          <w:rFonts w:ascii="Arial" w:hAnsi="Arial" w:cs="Arial"/>
          <w:sz w:val="20"/>
          <w:szCs w:val="20"/>
        </w:rPr>
        <w:t xml:space="preserve">y </w:t>
      </w:r>
      <w:r w:rsidR="00CE2297" w:rsidRPr="001414DB">
        <w:rPr>
          <w:rFonts w:ascii="Arial" w:hAnsi="Arial" w:cs="Arial"/>
          <w:sz w:val="20"/>
          <w:szCs w:val="20"/>
        </w:rPr>
        <w:t>d</w:t>
      </w:r>
      <w:r w:rsidR="00351316" w:rsidRPr="001414DB">
        <w:rPr>
          <w:rFonts w:ascii="Arial" w:hAnsi="Arial" w:cs="Arial"/>
          <w:sz w:val="20"/>
          <w:szCs w:val="20"/>
        </w:rPr>
        <w:t xml:space="preserve">ne </w:t>
      </w:r>
      <w:r w:rsidR="00CE2297" w:rsidRPr="001414DB">
        <w:rPr>
          <w:rFonts w:ascii="Arial" w:hAnsi="Arial" w:cs="Arial"/>
          <w:sz w:val="20"/>
          <w:szCs w:val="20"/>
        </w:rPr>
        <w:t xml:space="preserve">29. července </w:t>
      </w:r>
      <w:r w:rsidR="00351316" w:rsidRPr="001414DB">
        <w:rPr>
          <w:rFonts w:ascii="Arial" w:hAnsi="Arial" w:cs="Arial"/>
          <w:sz w:val="20"/>
          <w:szCs w:val="20"/>
        </w:rPr>
        <w:t xml:space="preserve">2015 </w:t>
      </w:r>
      <w:r w:rsidRPr="001414DB">
        <w:rPr>
          <w:rFonts w:ascii="Arial" w:hAnsi="Arial" w:cs="Arial"/>
          <w:sz w:val="20"/>
          <w:szCs w:val="20"/>
        </w:rPr>
        <w:t>(v bodě pro informaci) byl předložen A</w:t>
      </w:r>
      <w:r w:rsidR="006238B3" w:rsidRPr="001414DB">
        <w:rPr>
          <w:rFonts w:ascii="Arial" w:hAnsi="Arial" w:cs="Arial"/>
          <w:sz w:val="20"/>
          <w:szCs w:val="20"/>
        </w:rPr>
        <w:t xml:space="preserve">kční plán </w:t>
      </w:r>
      <w:r w:rsidRPr="001414DB">
        <w:rPr>
          <w:rFonts w:ascii="Arial" w:hAnsi="Arial" w:cs="Arial"/>
          <w:sz w:val="20"/>
          <w:szCs w:val="20"/>
        </w:rPr>
        <w:t>inkluzivního vzdělávání na období 2016-2018</w:t>
      </w:r>
      <w:r w:rsidR="000F3490" w:rsidRPr="001414DB">
        <w:rPr>
          <w:rFonts w:ascii="Arial" w:hAnsi="Arial" w:cs="Arial"/>
          <w:sz w:val="20"/>
          <w:szCs w:val="20"/>
        </w:rPr>
        <w:t xml:space="preserve"> (APIV)</w:t>
      </w:r>
      <w:r w:rsidRPr="001414DB">
        <w:rPr>
          <w:rFonts w:ascii="Arial" w:hAnsi="Arial" w:cs="Arial"/>
          <w:sz w:val="20"/>
          <w:szCs w:val="20"/>
        </w:rPr>
        <w:t xml:space="preserve">, který je součástí naplňování PP 10.1 a 10.3 </w:t>
      </w:r>
      <w:r w:rsidR="000B0118" w:rsidRPr="001414DB">
        <w:rPr>
          <w:rFonts w:ascii="Arial" w:hAnsi="Arial" w:cs="Arial"/>
          <w:sz w:val="20"/>
          <w:szCs w:val="20"/>
        </w:rPr>
        <w:t xml:space="preserve">a dotváří soustavu strategických a implementačních dokumentů v oblasti vzdělávání. Akční plán byl MŠMT schválen </w:t>
      </w:r>
      <w:r w:rsidR="003F390F" w:rsidRPr="001414DB">
        <w:rPr>
          <w:rFonts w:ascii="Arial" w:hAnsi="Arial" w:cs="Arial"/>
          <w:sz w:val="20"/>
          <w:szCs w:val="20"/>
        </w:rPr>
        <w:t>o měsíc později oproti akčnímu plánu</w:t>
      </w:r>
      <w:r w:rsidR="006460F8" w:rsidRPr="001414DB">
        <w:rPr>
          <w:rFonts w:ascii="Arial" w:hAnsi="Arial" w:cs="Arial"/>
          <w:sz w:val="20"/>
          <w:szCs w:val="20"/>
        </w:rPr>
        <w:t>,</w:t>
      </w:r>
      <w:r w:rsidR="00CE2297" w:rsidRPr="001414DB">
        <w:rPr>
          <w:rFonts w:ascii="Arial" w:hAnsi="Arial" w:cs="Arial"/>
          <w:sz w:val="20"/>
          <w:szCs w:val="20"/>
        </w:rPr>
        <w:t xml:space="preserve"> nic</w:t>
      </w:r>
      <w:r w:rsidR="001414DB">
        <w:rPr>
          <w:rFonts w:ascii="Arial" w:hAnsi="Arial" w:cs="Arial"/>
          <w:sz w:val="20"/>
          <w:szCs w:val="20"/>
        </w:rPr>
        <w:t>méně EK avizovala pochopení pro </w:t>
      </w:r>
      <w:r w:rsidR="00CE2297" w:rsidRPr="001414DB">
        <w:rPr>
          <w:rFonts w:ascii="Arial" w:hAnsi="Arial" w:cs="Arial"/>
          <w:sz w:val="20"/>
          <w:szCs w:val="20"/>
        </w:rPr>
        <w:t>realistický posun termínu schválení dokumentu v závislost</w:t>
      </w:r>
      <w:r w:rsidR="000B0118" w:rsidRPr="001414DB">
        <w:rPr>
          <w:rFonts w:ascii="Arial" w:hAnsi="Arial" w:cs="Arial"/>
          <w:sz w:val="20"/>
          <w:szCs w:val="20"/>
        </w:rPr>
        <w:t>i</w:t>
      </w:r>
      <w:r w:rsidR="00CE2297" w:rsidRPr="001414DB">
        <w:rPr>
          <w:rFonts w:ascii="Arial" w:hAnsi="Arial" w:cs="Arial"/>
          <w:sz w:val="20"/>
          <w:szCs w:val="20"/>
        </w:rPr>
        <w:t xml:space="preserve"> na plánovaných datech prvních výzev v této oblasti. </w:t>
      </w:r>
      <w:r w:rsidR="000F3490" w:rsidRPr="001414DB">
        <w:rPr>
          <w:rFonts w:ascii="Arial" w:hAnsi="Arial" w:cs="Arial"/>
          <w:sz w:val="20"/>
          <w:szCs w:val="20"/>
        </w:rPr>
        <w:t xml:space="preserve">Dne </w:t>
      </w:r>
      <w:r w:rsidR="00A47E2A" w:rsidRPr="001414DB">
        <w:rPr>
          <w:rFonts w:ascii="Arial" w:hAnsi="Arial" w:cs="Arial"/>
          <w:sz w:val="20"/>
          <w:szCs w:val="20"/>
        </w:rPr>
        <w:t>31. července 2015</w:t>
      </w:r>
      <w:r w:rsidR="006238B3" w:rsidRPr="001414DB">
        <w:rPr>
          <w:rFonts w:ascii="Arial" w:hAnsi="Arial" w:cs="Arial"/>
          <w:sz w:val="20"/>
          <w:szCs w:val="20"/>
        </w:rPr>
        <w:t xml:space="preserve"> byl</w:t>
      </w:r>
      <w:r w:rsidR="00FC0604" w:rsidRPr="001414DB">
        <w:rPr>
          <w:rFonts w:ascii="Arial" w:hAnsi="Arial" w:cs="Arial"/>
          <w:sz w:val="20"/>
          <w:szCs w:val="20"/>
        </w:rPr>
        <w:t xml:space="preserve"> </w:t>
      </w:r>
      <w:r w:rsidR="00B36C41" w:rsidRPr="001414DB">
        <w:rPr>
          <w:rFonts w:ascii="Arial" w:hAnsi="Arial" w:cs="Arial"/>
          <w:sz w:val="20"/>
          <w:szCs w:val="20"/>
        </w:rPr>
        <w:t>APIV</w:t>
      </w:r>
      <w:r w:rsidR="00FC0604" w:rsidRPr="001414DB">
        <w:rPr>
          <w:rFonts w:ascii="Arial" w:hAnsi="Arial" w:cs="Arial"/>
          <w:sz w:val="20"/>
          <w:szCs w:val="20"/>
        </w:rPr>
        <w:t xml:space="preserve"> </w:t>
      </w:r>
      <w:r w:rsidR="006238B3" w:rsidRPr="001414DB">
        <w:rPr>
          <w:rFonts w:ascii="Arial" w:hAnsi="Arial" w:cs="Arial"/>
          <w:sz w:val="20"/>
          <w:szCs w:val="20"/>
        </w:rPr>
        <w:t xml:space="preserve">přes SFC </w:t>
      </w:r>
      <w:r w:rsidR="00B36C41" w:rsidRPr="001414DB">
        <w:rPr>
          <w:rFonts w:ascii="Arial" w:hAnsi="Arial" w:cs="Arial"/>
          <w:sz w:val="20"/>
          <w:szCs w:val="20"/>
        </w:rPr>
        <w:t xml:space="preserve">odeslán </w:t>
      </w:r>
      <w:r w:rsidR="00FC0604" w:rsidRPr="001414DB">
        <w:rPr>
          <w:rFonts w:ascii="Arial" w:hAnsi="Arial" w:cs="Arial"/>
          <w:sz w:val="20"/>
          <w:szCs w:val="20"/>
        </w:rPr>
        <w:t>na EK</w:t>
      </w:r>
      <w:r w:rsidR="001414DB">
        <w:rPr>
          <w:rFonts w:ascii="Arial" w:hAnsi="Arial" w:cs="Arial"/>
          <w:sz w:val="20"/>
          <w:szCs w:val="20"/>
        </w:rPr>
        <w:t>, nyní se čeká na </w:t>
      </w:r>
      <w:r w:rsidR="000F3490" w:rsidRPr="001414DB">
        <w:rPr>
          <w:rFonts w:ascii="Arial" w:hAnsi="Arial" w:cs="Arial"/>
          <w:sz w:val="20"/>
          <w:szCs w:val="20"/>
        </w:rPr>
        <w:t xml:space="preserve">jeho </w:t>
      </w:r>
      <w:r w:rsidR="00351316" w:rsidRPr="001414DB">
        <w:rPr>
          <w:rFonts w:ascii="Arial" w:hAnsi="Arial" w:cs="Arial"/>
          <w:sz w:val="20"/>
          <w:szCs w:val="20"/>
        </w:rPr>
        <w:t>verifikaci</w:t>
      </w:r>
      <w:r w:rsidR="00FC0604" w:rsidRPr="001414DB">
        <w:rPr>
          <w:rFonts w:ascii="Arial" w:hAnsi="Arial" w:cs="Arial"/>
          <w:sz w:val="20"/>
          <w:szCs w:val="20"/>
        </w:rPr>
        <w:t>.</w:t>
      </w:r>
      <w:r w:rsidR="006460F8" w:rsidRPr="001414DB">
        <w:rPr>
          <w:rFonts w:ascii="Arial" w:hAnsi="Arial" w:cs="Arial"/>
          <w:sz w:val="20"/>
          <w:szCs w:val="20"/>
        </w:rPr>
        <w:t xml:space="preserve"> </w:t>
      </w:r>
      <w:r w:rsidR="00DA3F8E" w:rsidRPr="001414DB">
        <w:rPr>
          <w:rFonts w:ascii="Arial" w:hAnsi="Arial" w:cs="Arial"/>
          <w:sz w:val="20"/>
          <w:szCs w:val="20"/>
        </w:rPr>
        <w:t>Momentálně lze PP 10.1 a 10.3 evidovat jako splněnou, rozhodující bude</w:t>
      </w:r>
      <w:r w:rsidR="00BA2913" w:rsidRPr="001414DB">
        <w:rPr>
          <w:rFonts w:ascii="Arial" w:hAnsi="Arial" w:cs="Arial"/>
          <w:sz w:val="20"/>
          <w:szCs w:val="20"/>
        </w:rPr>
        <w:t xml:space="preserve"> nicméně ofic</w:t>
      </w:r>
      <w:r w:rsidR="009C772C" w:rsidRPr="001414DB">
        <w:rPr>
          <w:rFonts w:ascii="Arial" w:hAnsi="Arial" w:cs="Arial"/>
          <w:sz w:val="20"/>
          <w:szCs w:val="20"/>
        </w:rPr>
        <w:t>i</w:t>
      </w:r>
      <w:r w:rsidR="00BA2913" w:rsidRPr="001414DB">
        <w:rPr>
          <w:rFonts w:ascii="Arial" w:hAnsi="Arial" w:cs="Arial"/>
          <w:sz w:val="20"/>
          <w:szCs w:val="20"/>
        </w:rPr>
        <w:t>ální</w:t>
      </w:r>
      <w:r w:rsidR="00DA3F8E" w:rsidRPr="001414DB">
        <w:rPr>
          <w:rFonts w:ascii="Arial" w:hAnsi="Arial" w:cs="Arial"/>
          <w:sz w:val="20"/>
          <w:szCs w:val="20"/>
        </w:rPr>
        <w:t xml:space="preserve"> vyjádření EK</w:t>
      </w:r>
      <w:r w:rsidR="00BA2913" w:rsidRPr="001414DB">
        <w:rPr>
          <w:rFonts w:ascii="Arial" w:hAnsi="Arial" w:cs="Arial"/>
          <w:sz w:val="20"/>
          <w:szCs w:val="20"/>
        </w:rPr>
        <w:t>, které by mělo být poskytnuto prostřednictvím SFC</w:t>
      </w:r>
      <w:r w:rsidR="00DA3F8E" w:rsidRPr="001414DB">
        <w:rPr>
          <w:rFonts w:ascii="Arial" w:hAnsi="Arial" w:cs="Arial"/>
          <w:sz w:val="20"/>
          <w:szCs w:val="20"/>
        </w:rPr>
        <w:t xml:space="preserve">. </w:t>
      </w:r>
    </w:p>
    <w:p w:rsidR="00592310" w:rsidRPr="001414DB" w:rsidRDefault="00592310" w:rsidP="001414DB">
      <w:pPr>
        <w:pStyle w:val="TextNOK"/>
        <w:spacing w:before="0"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906B78" w:rsidRPr="001414DB" w:rsidRDefault="007E5A32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  <w:t>T 11 Veřejná správa</w:t>
      </w:r>
      <w:r w:rsidR="00E07C52" w:rsidRPr="001414D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:rsidR="00E07C52" w:rsidRPr="001414DB" w:rsidRDefault="00E07C52" w:rsidP="001414DB">
      <w:pPr>
        <w:keepNext/>
        <w:spacing w:before="0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</w:pPr>
      <w:r w:rsidRPr="001414DB">
        <w:rPr>
          <w:rFonts w:ascii="Arial" w:eastAsia="Times New Roman" w:hAnsi="Arial" w:cs="Arial"/>
          <w:sz w:val="20"/>
          <w:szCs w:val="20"/>
        </w:rPr>
        <w:t>(gestor: ministerstvo vnitra)</w:t>
      </w:r>
    </w:p>
    <w:p w:rsidR="000F3490" w:rsidRPr="001414DB" w:rsidRDefault="000F3490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 xml:space="preserve">Implementační plány obsahují opatření a aktivity k naplnění dosud nesplněných kritérií předběžné podmínky (jde např. o opatření k zpracování analýzy využívání metod kvality ve VS, zpracování analýzy možnosti měření a hodnocení výkonu VS, vypracování metodického doporučení </w:t>
      </w:r>
      <w:r w:rsidR="00847498" w:rsidRPr="001414DB">
        <w:rPr>
          <w:rFonts w:ascii="Arial" w:hAnsi="Arial" w:cs="Arial"/>
          <w:sz w:val="20"/>
          <w:szCs w:val="20"/>
        </w:rPr>
        <w:t>k </w:t>
      </w:r>
      <w:r w:rsidRPr="001414DB">
        <w:rPr>
          <w:rFonts w:ascii="Arial" w:hAnsi="Arial" w:cs="Arial"/>
          <w:sz w:val="20"/>
          <w:szCs w:val="20"/>
        </w:rPr>
        <w:t xml:space="preserve">zavádění/ rozvoji metod řízení kvality pro územní samosprávné celky, vypracování procesních modelů a jejich standardizace). </w:t>
      </w:r>
    </w:p>
    <w:p w:rsidR="001414DB" w:rsidRPr="001414DB" w:rsidRDefault="00184425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Vláda ČR na svém zasedání 20.</w:t>
      </w:r>
      <w:r w:rsidR="000F3490" w:rsidRPr="001414DB">
        <w:rPr>
          <w:rFonts w:ascii="Arial" w:hAnsi="Arial" w:cs="Arial"/>
          <w:sz w:val="20"/>
          <w:szCs w:val="20"/>
        </w:rPr>
        <w:t xml:space="preserve"> </w:t>
      </w:r>
      <w:r w:rsidR="00847498" w:rsidRPr="001414DB">
        <w:rPr>
          <w:rFonts w:ascii="Arial" w:hAnsi="Arial" w:cs="Arial"/>
          <w:sz w:val="20"/>
          <w:szCs w:val="20"/>
        </w:rPr>
        <w:t>srpna</w:t>
      </w:r>
      <w:r w:rsidR="000F3490" w:rsidRPr="001414DB">
        <w:rPr>
          <w:rFonts w:ascii="Arial" w:hAnsi="Arial" w:cs="Arial"/>
          <w:sz w:val="20"/>
          <w:szCs w:val="20"/>
        </w:rPr>
        <w:t xml:space="preserve"> </w:t>
      </w:r>
      <w:r w:rsidRPr="001414DB">
        <w:rPr>
          <w:rFonts w:ascii="Arial" w:hAnsi="Arial" w:cs="Arial"/>
          <w:sz w:val="20"/>
          <w:szCs w:val="20"/>
        </w:rPr>
        <w:t>2015 schválila doplnění a aktualizaci Implementačních plánů Strategického rámce rozvoje veřejné správy České repu</w:t>
      </w:r>
      <w:r w:rsidR="0090371E" w:rsidRPr="001414DB">
        <w:rPr>
          <w:rFonts w:ascii="Arial" w:hAnsi="Arial" w:cs="Arial"/>
          <w:sz w:val="20"/>
          <w:szCs w:val="20"/>
        </w:rPr>
        <w:t>bliky pro období 2014 – 2020. V </w:t>
      </w:r>
      <w:r w:rsidRPr="001414DB">
        <w:rPr>
          <w:rFonts w:ascii="Arial" w:hAnsi="Arial" w:cs="Arial"/>
          <w:sz w:val="20"/>
          <w:szCs w:val="20"/>
        </w:rPr>
        <w:t>Implementačních plánech j</w:t>
      </w:r>
      <w:r w:rsidR="000F3490" w:rsidRPr="001414DB">
        <w:rPr>
          <w:rFonts w:ascii="Arial" w:hAnsi="Arial" w:cs="Arial"/>
          <w:sz w:val="20"/>
          <w:szCs w:val="20"/>
        </w:rPr>
        <w:t>sou</w:t>
      </w:r>
      <w:r w:rsidRPr="001414DB">
        <w:rPr>
          <w:rFonts w:ascii="Arial" w:hAnsi="Arial" w:cs="Arial"/>
          <w:sz w:val="20"/>
          <w:szCs w:val="20"/>
        </w:rPr>
        <w:t xml:space="preserve"> stanoven</w:t>
      </w:r>
      <w:r w:rsidR="000F3490" w:rsidRPr="001414DB">
        <w:rPr>
          <w:rFonts w:ascii="Arial" w:hAnsi="Arial" w:cs="Arial"/>
          <w:sz w:val="20"/>
          <w:szCs w:val="20"/>
        </w:rPr>
        <w:t xml:space="preserve">y </w:t>
      </w:r>
      <w:r w:rsidRPr="001414DB">
        <w:rPr>
          <w:rFonts w:ascii="Arial" w:hAnsi="Arial" w:cs="Arial"/>
          <w:sz w:val="20"/>
          <w:szCs w:val="20"/>
        </w:rPr>
        <w:t xml:space="preserve">jednotlivé činnosti a aktivity </w:t>
      </w:r>
      <w:r w:rsidR="000F3490" w:rsidRPr="001414DB">
        <w:rPr>
          <w:rFonts w:ascii="Arial" w:hAnsi="Arial" w:cs="Arial"/>
          <w:sz w:val="20"/>
          <w:szCs w:val="20"/>
        </w:rPr>
        <w:t>(</w:t>
      </w:r>
      <w:r w:rsidRPr="001414DB">
        <w:rPr>
          <w:rFonts w:ascii="Arial" w:hAnsi="Arial" w:cs="Arial"/>
          <w:sz w:val="20"/>
          <w:szCs w:val="20"/>
        </w:rPr>
        <w:t>včetně navrhovaných legislativních změn</w:t>
      </w:r>
      <w:r w:rsidR="000F3490" w:rsidRPr="001414DB">
        <w:rPr>
          <w:rFonts w:ascii="Arial" w:hAnsi="Arial" w:cs="Arial"/>
          <w:sz w:val="20"/>
          <w:szCs w:val="20"/>
        </w:rPr>
        <w:t>), které vstupují do naplňování relevantních kritérií předběžné podmínky</w:t>
      </w:r>
      <w:r w:rsidR="0090371E" w:rsidRPr="001414DB">
        <w:rPr>
          <w:rFonts w:ascii="Arial" w:hAnsi="Arial" w:cs="Arial"/>
          <w:sz w:val="20"/>
          <w:szCs w:val="20"/>
        </w:rPr>
        <w:t>. V </w:t>
      </w:r>
      <w:r w:rsidRPr="001414DB">
        <w:rPr>
          <w:rFonts w:ascii="Arial" w:hAnsi="Arial" w:cs="Arial"/>
          <w:sz w:val="20"/>
          <w:szCs w:val="20"/>
        </w:rPr>
        <w:t>rámci doplnění a aktualizace Implementační plánů pro Strategické cíle 1,</w:t>
      </w:r>
      <w:r w:rsidR="0090371E" w:rsidRPr="001414DB">
        <w:rPr>
          <w:rFonts w:ascii="Arial" w:hAnsi="Arial" w:cs="Arial"/>
          <w:sz w:val="20"/>
          <w:szCs w:val="20"/>
        </w:rPr>
        <w:t xml:space="preserve"> </w:t>
      </w:r>
      <w:r w:rsidRPr="001414DB">
        <w:rPr>
          <w:rFonts w:ascii="Arial" w:hAnsi="Arial" w:cs="Arial"/>
          <w:sz w:val="20"/>
          <w:szCs w:val="20"/>
        </w:rPr>
        <w:t xml:space="preserve">2 a 4 byly zapracovány plánované záměry projektů v oblasti veřejné správy. V rámci aktualizace Implementačního plánu Strategického cíle 3 byly zpracovány a vloženy </w:t>
      </w:r>
      <w:r w:rsidR="000F3490" w:rsidRPr="001414DB">
        <w:rPr>
          <w:rFonts w:ascii="Arial" w:hAnsi="Arial" w:cs="Arial"/>
          <w:sz w:val="20"/>
          <w:szCs w:val="20"/>
        </w:rPr>
        <w:t xml:space="preserve">informace k </w:t>
      </w:r>
      <w:r w:rsidRPr="001414DB">
        <w:rPr>
          <w:rFonts w:ascii="Arial" w:hAnsi="Arial" w:cs="Arial"/>
          <w:sz w:val="20"/>
          <w:szCs w:val="20"/>
        </w:rPr>
        <w:t>projektový</w:t>
      </w:r>
      <w:r w:rsidR="000F3490" w:rsidRPr="001414DB">
        <w:rPr>
          <w:rFonts w:ascii="Arial" w:hAnsi="Arial" w:cs="Arial"/>
          <w:sz w:val="20"/>
          <w:szCs w:val="20"/>
        </w:rPr>
        <w:t>m</w:t>
      </w:r>
      <w:r w:rsidRPr="001414DB">
        <w:rPr>
          <w:rFonts w:ascii="Arial" w:hAnsi="Arial" w:cs="Arial"/>
          <w:sz w:val="20"/>
          <w:szCs w:val="20"/>
        </w:rPr>
        <w:t xml:space="preserve"> okruhů</w:t>
      </w:r>
      <w:r w:rsidR="000F3490" w:rsidRPr="001414DB">
        <w:rPr>
          <w:rFonts w:ascii="Arial" w:hAnsi="Arial" w:cs="Arial"/>
          <w:sz w:val="20"/>
          <w:szCs w:val="20"/>
        </w:rPr>
        <w:t>m. Celková revize IP SRRVS by tak měla mimo jiné sloužit pro efektivní prop</w:t>
      </w:r>
      <w:r w:rsidR="001414DB" w:rsidRPr="001414DB">
        <w:rPr>
          <w:rFonts w:ascii="Arial" w:hAnsi="Arial" w:cs="Arial"/>
          <w:sz w:val="20"/>
          <w:szCs w:val="20"/>
        </w:rPr>
        <w:t>ojení strategického plánování a </w:t>
      </w:r>
      <w:r w:rsidR="000F3490" w:rsidRPr="001414DB">
        <w:rPr>
          <w:rFonts w:ascii="Arial" w:hAnsi="Arial" w:cs="Arial"/>
          <w:sz w:val="20"/>
          <w:szCs w:val="20"/>
        </w:rPr>
        <w:t>plánování výzev v příslušných</w:t>
      </w:r>
      <w:r w:rsidR="0090371E" w:rsidRPr="001414DB">
        <w:rPr>
          <w:rFonts w:ascii="Arial" w:hAnsi="Arial" w:cs="Arial"/>
          <w:sz w:val="20"/>
          <w:szCs w:val="20"/>
        </w:rPr>
        <w:t xml:space="preserve"> operačních programech, jakož i </w:t>
      </w:r>
      <w:r w:rsidR="000F3490" w:rsidRPr="001414DB">
        <w:rPr>
          <w:rFonts w:ascii="Arial" w:hAnsi="Arial" w:cs="Arial"/>
          <w:sz w:val="20"/>
          <w:szCs w:val="20"/>
        </w:rPr>
        <w:t>plánování realizace intervencí jdoucích mimo ESI fondy.</w:t>
      </w:r>
    </w:p>
    <w:p w:rsidR="00E07C52" w:rsidRPr="001414DB" w:rsidRDefault="009C27C0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Mimo to v</w:t>
      </w:r>
      <w:r w:rsidR="00184425" w:rsidRPr="001414DB">
        <w:rPr>
          <w:rFonts w:ascii="Arial" w:hAnsi="Arial" w:cs="Arial"/>
          <w:sz w:val="20"/>
          <w:szCs w:val="20"/>
        </w:rPr>
        <w:t>šechny Implementační plány pro Strategické cíle mají</w:t>
      </w:r>
      <w:r w:rsidR="0090371E" w:rsidRPr="001414DB">
        <w:rPr>
          <w:rFonts w:ascii="Arial" w:hAnsi="Arial" w:cs="Arial"/>
          <w:sz w:val="20"/>
          <w:szCs w:val="20"/>
        </w:rPr>
        <w:t xml:space="preserve"> jednotný systém monitorování a </w:t>
      </w:r>
      <w:r w:rsidR="00184425" w:rsidRPr="001414DB">
        <w:rPr>
          <w:rFonts w:ascii="Arial" w:hAnsi="Arial" w:cs="Arial"/>
          <w:sz w:val="20"/>
          <w:szCs w:val="20"/>
        </w:rPr>
        <w:t xml:space="preserve">hodnocení stavu plnění </w:t>
      </w:r>
      <w:r w:rsidR="00515E6C" w:rsidRPr="001414DB">
        <w:rPr>
          <w:rFonts w:ascii="Arial" w:hAnsi="Arial" w:cs="Arial"/>
          <w:sz w:val="20"/>
          <w:szCs w:val="20"/>
        </w:rPr>
        <w:t>cílů/</w:t>
      </w:r>
      <w:r w:rsidR="00184425" w:rsidRPr="001414DB">
        <w:rPr>
          <w:rFonts w:ascii="Arial" w:hAnsi="Arial" w:cs="Arial"/>
          <w:sz w:val="20"/>
          <w:szCs w:val="20"/>
        </w:rPr>
        <w:t xml:space="preserve">opatření/aktivit </w:t>
      </w:r>
      <w:r w:rsidR="00515E6C" w:rsidRPr="001414DB">
        <w:rPr>
          <w:rFonts w:ascii="Arial" w:hAnsi="Arial" w:cs="Arial"/>
          <w:sz w:val="20"/>
          <w:szCs w:val="20"/>
        </w:rPr>
        <w:t>uvedených</w:t>
      </w:r>
      <w:r w:rsidR="00184425" w:rsidRPr="001414DB">
        <w:rPr>
          <w:rFonts w:ascii="Arial" w:hAnsi="Arial" w:cs="Arial"/>
          <w:sz w:val="20"/>
          <w:szCs w:val="20"/>
        </w:rPr>
        <w:t xml:space="preserve"> v Implementačních plánech ve struktuře schválené Radou vlády pro veřejnou správu.</w:t>
      </w:r>
    </w:p>
    <w:p w:rsidR="00A26A1A" w:rsidRPr="001414DB" w:rsidRDefault="00E07C52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Termín</w:t>
      </w:r>
      <w:r w:rsidR="0055469D" w:rsidRPr="001414DB">
        <w:rPr>
          <w:rFonts w:ascii="Arial" w:hAnsi="Arial" w:cs="Arial"/>
          <w:sz w:val="20"/>
          <w:szCs w:val="20"/>
        </w:rPr>
        <w:t>y u realizace některých opatření, která vstupují do naplňování</w:t>
      </w:r>
      <w:r w:rsidRPr="001414DB">
        <w:rPr>
          <w:rFonts w:ascii="Arial" w:hAnsi="Arial" w:cs="Arial"/>
          <w:sz w:val="20"/>
          <w:szCs w:val="20"/>
        </w:rPr>
        <w:t xml:space="preserve"> některých nesplněných kritérií</w:t>
      </w:r>
      <w:r w:rsidR="0055469D" w:rsidRPr="001414DB">
        <w:rPr>
          <w:rFonts w:ascii="Arial" w:hAnsi="Arial" w:cs="Arial"/>
          <w:sz w:val="20"/>
          <w:szCs w:val="20"/>
        </w:rPr>
        <w:t>,</w:t>
      </w:r>
      <w:r w:rsidRPr="001414DB">
        <w:rPr>
          <w:rFonts w:ascii="Arial" w:hAnsi="Arial" w:cs="Arial"/>
          <w:sz w:val="20"/>
          <w:szCs w:val="20"/>
        </w:rPr>
        <w:t xml:space="preserve"> j</w:t>
      </w:r>
      <w:r w:rsidR="0055469D" w:rsidRPr="001414DB">
        <w:rPr>
          <w:rFonts w:ascii="Arial" w:hAnsi="Arial" w:cs="Arial"/>
          <w:sz w:val="20"/>
          <w:szCs w:val="20"/>
        </w:rPr>
        <w:t>sou</w:t>
      </w:r>
      <w:r w:rsidRPr="001414DB">
        <w:rPr>
          <w:rFonts w:ascii="Arial" w:hAnsi="Arial" w:cs="Arial"/>
          <w:sz w:val="20"/>
          <w:szCs w:val="20"/>
        </w:rPr>
        <w:t xml:space="preserve"> stanoven</w:t>
      </w:r>
      <w:r w:rsidR="0055469D" w:rsidRPr="001414DB">
        <w:rPr>
          <w:rFonts w:ascii="Arial" w:hAnsi="Arial" w:cs="Arial"/>
          <w:sz w:val="20"/>
          <w:szCs w:val="20"/>
        </w:rPr>
        <w:t>y až</w:t>
      </w:r>
      <w:r w:rsidRPr="001414DB">
        <w:rPr>
          <w:rFonts w:ascii="Arial" w:hAnsi="Arial" w:cs="Arial"/>
          <w:sz w:val="20"/>
          <w:szCs w:val="20"/>
        </w:rPr>
        <w:t xml:space="preserve"> na konec roku 2016, což je nejzazší termín splnění </w:t>
      </w:r>
      <w:r w:rsidR="00493A4E" w:rsidRPr="001414DB">
        <w:rPr>
          <w:rFonts w:ascii="Arial" w:hAnsi="Arial" w:cs="Arial"/>
          <w:sz w:val="20"/>
          <w:szCs w:val="20"/>
        </w:rPr>
        <w:t>PP</w:t>
      </w:r>
      <w:r w:rsidRPr="001414DB">
        <w:rPr>
          <w:rFonts w:ascii="Arial" w:hAnsi="Arial" w:cs="Arial"/>
          <w:sz w:val="20"/>
          <w:szCs w:val="20"/>
        </w:rPr>
        <w:t xml:space="preserve"> podle nařízení EU. </w:t>
      </w:r>
      <w:r w:rsidR="0055469D" w:rsidRPr="001414DB">
        <w:rPr>
          <w:rFonts w:ascii="Arial" w:hAnsi="Arial" w:cs="Arial"/>
          <w:b/>
          <w:sz w:val="20"/>
          <w:szCs w:val="20"/>
        </w:rPr>
        <w:t>Zároveň dochází v rámci aktualizace Implementačn</w:t>
      </w:r>
      <w:r w:rsidR="0090371E" w:rsidRPr="001414DB">
        <w:rPr>
          <w:rFonts w:ascii="Arial" w:hAnsi="Arial" w:cs="Arial"/>
          <w:b/>
          <w:sz w:val="20"/>
          <w:szCs w:val="20"/>
        </w:rPr>
        <w:t>ích plánů k posunům termínů</w:t>
      </w:r>
      <w:r w:rsidR="001414DB">
        <w:rPr>
          <w:rFonts w:ascii="Arial" w:hAnsi="Arial" w:cs="Arial"/>
          <w:b/>
          <w:sz w:val="20"/>
          <w:szCs w:val="20"/>
        </w:rPr>
        <w:t xml:space="preserve"> u </w:t>
      </w:r>
      <w:r w:rsidR="00B21CA5" w:rsidRPr="001414DB">
        <w:rPr>
          <w:rFonts w:ascii="Arial" w:hAnsi="Arial" w:cs="Arial"/>
          <w:b/>
          <w:sz w:val="20"/>
          <w:szCs w:val="20"/>
        </w:rPr>
        <w:t>některých opatření</w:t>
      </w:r>
      <w:r w:rsidR="006E04DD" w:rsidRPr="001414DB">
        <w:rPr>
          <w:rFonts w:ascii="Arial" w:hAnsi="Arial" w:cs="Arial"/>
          <w:b/>
          <w:sz w:val="20"/>
          <w:szCs w:val="20"/>
        </w:rPr>
        <w:t xml:space="preserve"> </w:t>
      </w:r>
      <w:r w:rsidR="0090371E" w:rsidRPr="001414DB">
        <w:rPr>
          <w:rFonts w:ascii="Arial" w:hAnsi="Arial" w:cs="Arial"/>
          <w:b/>
          <w:sz w:val="20"/>
          <w:szCs w:val="20"/>
        </w:rPr>
        <w:t>na </w:t>
      </w:r>
      <w:r w:rsidR="0055469D" w:rsidRPr="001414DB">
        <w:rPr>
          <w:rFonts w:ascii="Arial" w:hAnsi="Arial" w:cs="Arial"/>
          <w:b/>
          <w:sz w:val="20"/>
          <w:szCs w:val="20"/>
        </w:rPr>
        <w:t>rok 2016</w:t>
      </w:r>
      <w:r w:rsidR="0055469D" w:rsidRPr="001414DB">
        <w:rPr>
          <w:rFonts w:ascii="Arial" w:hAnsi="Arial" w:cs="Arial"/>
          <w:sz w:val="20"/>
          <w:szCs w:val="20"/>
        </w:rPr>
        <w:t>.</w:t>
      </w:r>
      <w:r w:rsidR="0055469D" w:rsidRPr="001414DB">
        <w:rPr>
          <w:rFonts w:ascii="Arial" w:hAnsi="Arial" w:cs="Arial"/>
          <w:b/>
          <w:sz w:val="20"/>
          <w:szCs w:val="20"/>
        </w:rPr>
        <w:t xml:space="preserve"> </w:t>
      </w:r>
      <w:r w:rsidR="0066127A" w:rsidRPr="001414DB">
        <w:rPr>
          <w:rFonts w:ascii="Arial" w:hAnsi="Arial" w:cs="Arial"/>
          <w:b/>
          <w:sz w:val="20"/>
          <w:szCs w:val="20"/>
        </w:rPr>
        <w:t xml:space="preserve">Tato skutečnost </w:t>
      </w:r>
      <w:r w:rsidR="00A26A1A" w:rsidRPr="001414DB">
        <w:rPr>
          <w:rFonts w:ascii="Arial" w:hAnsi="Arial" w:cs="Arial"/>
          <w:b/>
          <w:sz w:val="20"/>
          <w:szCs w:val="20"/>
        </w:rPr>
        <w:t xml:space="preserve">byla </w:t>
      </w:r>
      <w:r w:rsidR="0066127A" w:rsidRPr="001414DB">
        <w:rPr>
          <w:rFonts w:ascii="Arial" w:hAnsi="Arial" w:cs="Arial"/>
          <w:b/>
          <w:sz w:val="20"/>
          <w:szCs w:val="20"/>
        </w:rPr>
        <w:t xml:space="preserve">komunikována </w:t>
      </w:r>
      <w:r w:rsidR="000F3490" w:rsidRPr="001414DB">
        <w:rPr>
          <w:rFonts w:ascii="Arial" w:hAnsi="Arial" w:cs="Arial"/>
          <w:b/>
          <w:sz w:val="20"/>
          <w:szCs w:val="20"/>
        </w:rPr>
        <w:t xml:space="preserve">s </w:t>
      </w:r>
      <w:r w:rsidR="0066127A" w:rsidRPr="001414DB">
        <w:rPr>
          <w:rFonts w:ascii="Arial" w:hAnsi="Arial" w:cs="Arial"/>
          <w:b/>
          <w:sz w:val="20"/>
          <w:szCs w:val="20"/>
        </w:rPr>
        <w:t>Evropsk</w:t>
      </w:r>
      <w:r w:rsidR="000F3490" w:rsidRPr="001414DB">
        <w:rPr>
          <w:rFonts w:ascii="Arial" w:hAnsi="Arial" w:cs="Arial"/>
          <w:b/>
          <w:sz w:val="20"/>
          <w:szCs w:val="20"/>
        </w:rPr>
        <w:t>ou</w:t>
      </w:r>
      <w:r w:rsidR="0066127A" w:rsidRPr="001414DB">
        <w:rPr>
          <w:rFonts w:ascii="Arial" w:hAnsi="Arial" w:cs="Arial"/>
          <w:b/>
          <w:sz w:val="20"/>
          <w:szCs w:val="20"/>
        </w:rPr>
        <w:t xml:space="preserve"> komis</w:t>
      </w:r>
      <w:r w:rsidR="000F3490" w:rsidRPr="001414DB">
        <w:rPr>
          <w:rFonts w:ascii="Arial" w:hAnsi="Arial" w:cs="Arial"/>
          <w:b/>
          <w:sz w:val="20"/>
          <w:szCs w:val="20"/>
        </w:rPr>
        <w:t>í</w:t>
      </w:r>
      <w:r w:rsidR="0066127A" w:rsidRPr="001414DB">
        <w:rPr>
          <w:rFonts w:ascii="Arial" w:hAnsi="Arial" w:cs="Arial"/>
          <w:b/>
          <w:sz w:val="20"/>
          <w:szCs w:val="20"/>
        </w:rPr>
        <w:t>, neb</w:t>
      </w:r>
      <w:r w:rsidR="00906B78" w:rsidRPr="001414DB">
        <w:rPr>
          <w:rFonts w:ascii="Arial" w:hAnsi="Arial" w:cs="Arial"/>
          <w:b/>
          <w:sz w:val="20"/>
          <w:szCs w:val="20"/>
        </w:rPr>
        <w:t>oť akční plány včetně termínů a </w:t>
      </w:r>
      <w:r w:rsidR="0066127A" w:rsidRPr="001414DB">
        <w:rPr>
          <w:rFonts w:ascii="Arial" w:hAnsi="Arial" w:cs="Arial"/>
          <w:b/>
          <w:sz w:val="20"/>
          <w:szCs w:val="20"/>
        </w:rPr>
        <w:t>nastavených opatření jsou již schválené a veš</w:t>
      </w:r>
      <w:r w:rsidR="00906B78" w:rsidRPr="001414DB">
        <w:rPr>
          <w:rFonts w:ascii="Arial" w:hAnsi="Arial" w:cs="Arial"/>
          <w:b/>
          <w:sz w:val="20"/>
          <w:szCs w:val="20"/>
        </w:rPr>
        <w:t>keré změny v nich provedené tak </w:t>
      </w:r>
      <w:r w:rsidR="0066127A" w:rsidRPr="001414DB">
        <w:rPr>
          <w:rFonts w:ascii="Arial" w:hAnsi="Arial" w:cs="Arial"/>
          <w:b/>
          <w:sz w:val="20"/>
          <w:szCs w:val="20"/>
        </w:rPr>
        <w:t xml:space="preserve">musí být i Evropskou komisí odsouhlasené. Reporting těchto změn </w:t>
      </w:r>
      <w:r w:rsidR="00A26A1A" w:rsidRPr="001414DB">
        <w:rPr>
          <w:rFonts w:ascii="Arial" w:hAnsi="Arial" w:cs="Arial"/>
          <w:b/>
          <w:sz w:val="20"/>
          <w:szCs w:val="20"/>
        </w:rPr>
        <w:t xml:space="preserve">byl </w:t>
      </w:r>
      <w:r w:rsidR="0066127A" w:rsidRPr="001414DB">
        <w:rPr>
          <w:rFonts w:ascii="Arial" w:hAnsi="Arial" w:cs="Arial"/>
          <w:b/>
          <w:sz w:val="20"/>
          <w:szCs w:val="20"/>
        </w:rPr>
        <w:t xml:space="preserve">proveden prostřednictvím </w:t>
      </w:r>
      <w:r w:rsidR="00CB336C" w:rsidRPr="001414DB">
        <w:rPr>
          <w:rFonts w:ascii="Arial" w:hAnsi="Arial" w:cs="Arial"/>
          <w:b/>
          <w:sz w:val="20"/>
          <w:szCs w:val="20"/>
        </w:rPr>
        <w:t xml:space="preserve">červnové </w:t>
      </w:r>
      <w:r w:rsidR="007426F4" w:rsidRPr="001414DB">
        <w:rPr>
          <w:rFonts w:ascii="Arial" w:hAnsi="Arial" w:cs="Arial"/>
          <w:b/>
          <w:sz w:val="20"/>
          <w:szCs w:val="20"/>
        </w:rPr>
        <w:t>Čtvrtletní</w:t>
      </w:r>
      <w:r w:rsidR="0066127A" w:rsidRPr="001414DB">
        <w:rPr>
          <w:rFonts w:ascii="Arial" w:hAnsi="Arial" w:cs="Arial"/>
          <w:b/>
          <w:sz w:val="20"/>
          <w:szCs w:val="20"/>
        </w:rPr>
        <w:t xml:space="preserve"> zprávy pro EK. </w:t>
      </w:r>
      <w:r w:rsidR="00C57BFA" w:rsidRPr="001414DB">
        <w:rPr>
          <w:rFonts w:ascii="Arial" w:hAnsi="Arial" w:cs="Arial"/>
          <w:b/>
          <w:sz w:val="20"/>
          <w:szCs w:val="20"/>
        </w:rPr>
        <w:t xml:space="preserve">Tato skutečnost byla EK posouzena jako méně významná a </w:t>
      </w:r>
      <w:r w:rsidR="00A26A1A" w:rsidRPr="001414DB">
        <w:rPr>
          <w:rFonts w:ascii="Arial" w:hAnsi="Arial" w:cs="Arial"/>
          <w:b/>
          <w:sz w:val="20"/>
          <w:szCs w:val="20"/>
        </w:rPr>
        <w:t>EK deklarovala,</w:t>
      </w:r>
      <w:r w:rsidR="00C57BFA" w:rsidRPr="001414DB">
        <w:rPr>
          <w:rFonts w:ascii="Arial" w:hAnsi="Arial" w:cs="Arial"/>
          <w:b/>
          <w:sz w:val="20"/>
          <w:szCs w:val="20"/>
        </w:rPr>
        <w:t xml:space="preserve"> že</w:t>
      </w:r>
      <w:r w:rsidR="00A26A1A" w:rsidRPr="001414DB">
        <w:rPr>
          <w:rFonts w:ascii="Arial" w:hAnsi="Arial" w:cs="Arial"/>
          <w:b/>
          <w:sz w:val="20"/>
          <w:szCs w:val="20"/>
        </w:rPr>
        <w:t xml:space="preserve"> nemá problém s </w:t>
      </w:r>
      <w:r w:rsidR="00A26A1A" w:rsidRPr="001414DB">
        <w:rPr>
          <w:rFonts w:ascii="Arial" w:hAnsi="Arial" w:cs="Arial"/>
          <w:b/>
          <w:sz w:val="20"/>
          <w:szCs w:val="20"/>
          <w:lang/>
        </w:rPr>
        <w:t>dílčím posunem termínu v rámci jednotlivých opatření ke splnění PP</w:t>
      </w:r>
      <w:r w:rsidR="00C57BFA" w:rsidRPr="001414DB">
        <w:rPr>
          <w:rFonts w:ascii="Arial" w:hAnsi="Arial" w:cs="Arial"/>
          <w:b/>
          <w:sz w:val="20"/>
          <w:szCs w:val="20"/>
          <w:lang/>
        </w:rPr>
        <w:t>, když</w:t>
      </w:r>
      <w:r w:rsidR="00A26A1A" w:rsidRPr="001414DB">
        <w:rPr>
          <w:rFonts w:ascii="Arial" w:hAnsi="Arial" w:cs="Arial"/>
          <w:b/>
          <w:sz w:val="20"/>
          <w:szCs w:val="20"/>
          <w:lang/>
        </w:rPr>
        <w:t xml:space="preserve"> se nemění celkový termín splnění PP.</w:t>
      </w:r>
      <w:r w:rsidR="00A26A1A" w:rsidRPr="001414DB">
        <w:rPr>
          <w:rFonts w:ascii="Arial" w:hAnsi="Arial" w:cs="Arial"/>
          <w:b/>
          <w:sz w:val="20"/>
          <w:szCs w:val="20"/>
        </w:rPr>
        <w:t xml:space="preserve"> </w:t>
      </w:r>
    </w:p>
    <w:p w:rsidR="00E07C52" w:rsidRPr="001414DB" w:rsidRDefault="00985DCB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Přes dílčí posuny v naplňování některých kritérií (např. v souvislosti s prosazováním principu open data došlo k plnému spuštění Národního katalogu otevřených dat veřejné správy ČR</w:t>
      </w:r>
      <w:r w:rsidR="001414DB" w:rsidRPr="001414DB">
        <w:rPr>
          <w:rFonts w:ascii="Arial" w:hAnsi="Arial" w:cs="Arial"/>
          <w:sz w:val="20"/>
          <w:szCs w:val="20"/>
        </w:rPr>
        <w:t>)</w:t>
      </w:r>
      <w:r w:rsidR="001414DB">
        <w:rPr>
          <w:rFonts w:ascii="Arial" w:hAnsi="Arial" w:cs="Arial"/>
          <w:sz w:val="20"/>
          <w:szCs w:val="20"/>
        </w:rPr>
        <w:t xml:space="preserve"> </w:t>
      </w:r>
      <w:r w:rsidR="001414DB">
        <w:rPr>
          <w:rFonts w:ascii="Arial" w:hAnsi="Arial" w:cs="Arial"/>
          <w:sz w:val="20"/>
          <w:szCs w:val="20"/>
        </w:rPr>
        <w:lastRenderedPageBreak/>
        <w:t>se </w:t>
      </w:r>
      <w:r w:rsidRPr="001414DB">
        <w:rPr>
          <w:rFonts w:ascii="Arial" w:hAnsi="Arial" w:cs="Arial"/>
          <w:sz w:val="20"/>
          <w:szCs w:val="20"/>
        </w:rPr>
        <w:t>n</w:t>
      </w:r>
      <w:r w:rsidR="00E07C52" w:rsidRPr="001414DB">
        <w:rPr>
          <w:rFonts w:ascii="Arial" w:hAnsi="Arial" w:cs="Arial"/>
          <w:sz w:val="20"/>
          <w:szCs w:val="20"/>
        </w:rPr>
        <w:t xml:space="preserve">aplňování této </w:t>
      </w:r>
      <w:r w:rsidR="00493A4E" w:rsidRPr="001414DB">
        <w:rPr>
          <w:rFonts w:ascii="Arial" w:hAnsi="Arial" w:cs="Arial"/>
          <w:sz w:val="20"/>
          <w:szCs w:val="20"/>
        </w:rPr>
        <w:t>PP</w:t>
      </w:r>
      <w:r w:rsidR="00E07C52" w:rsidRPr="001414DB">
        <w:rPr>
          <w:rFonts w:ascii="Arial" w:hAnsi="Arial" w:cs="Arial"/>
          <w:sz w:val="20"/>
          <w:szCs w:val="20"/>
        </w:rPr>
        <w:t xml:space="preserve"> je</w:t>
      </w:r>
      <w:r w:rsidRPr="001414DB">
        <w:rPr>
          <w:rFonts w:ascii="Arial" w:hAnsi="Arial" w:cs="Arial"/>
          <w:sz w:val="20"/>
          <w:szCs w:val="20"/>
        </w:rPr>
        <w:t>ví jako</w:t>
      </w:r>
      <w:r w:rsidR="00E07C52" w:rsidRPr="001414DB">
        <w:rPr>
          <w:rFonts w:ascii="Arial" w:hAnsi="Arial" w:cs="Arial"/>
          <w:sz w:val="20"/>
          <w:szCs w:val="20"/>
        </w:rPr>
        <w:t xml:space="preserve"> </w:t>
      </w:r>
      <w:r w:rsidR="000F3490" w:rsidRPr="001414DB">
        <w:rPr>
          <w:rFonts w:ascii="Arial" w:hAnsi="Arial" w:cs="Arial"/>
          <w:sz w:val="20"/>
          <w:szCs w:val="20"/>
        </w:rPr>
        <w:t>stále značně</w:t>
      </w:r>
      <w:r w:rsidR="00E07C52" w:rsidRPr="001414DB">
        <w:rPr>
          <w:rFonts w:ascii="Arial" w:hAnsi="Arial" w:cs="Arial"/>
          <w:sz w:val="20"/>
          <w:szCs w:val="20"/>
        </w:rPr>
        <w:t xml:space="preserve"> rizikové a musí být pečlivě monitorováno, i např. prostřednictvím nastavených mechanismů koordinace a účasti na</w:t>
      </w:r>
      <w:r w:rsidR="00DD62AC" w:rsidRPr="001414DB">
        <w:rPr>
          <w:rFonts w:ascii="Arial" w:hAnsi="Arial" w:cs="Arial"/>
          <w:sz w:val="20"/>
          <w:szCs w:val="20"/>
        </w:rPr>
        <w:t> </w:t>
      </w:r>
      <w:r w:rsidR="00E07C52" w:rsidRPr="001414DB">
        <w:rPr>
          <w:rFonts w:ascii="Arial" w:hAnsi="Arial" w:cs="Arial"/>
          <w:sz w:val="20"/>
          <w:szCs w:val="20"/>
        </w:rPr>
        <w:t>příslušných jednáních Řídících výborů Rady vlády pro veřejnou správu</w:t>
      </w:r>
      <w:r w:rsidR="000F3490" w:rsidRPr="001414DB">
        <w:rPr>
          <w:rFonts w:ascii="Arial" w:hAnsi="Arial" w:cs="Arial"/>
          <w:sz w:val="20"/>
          <w:szCs w:val="20"/>
        </w:rPr>
        <w:t>, příp. Rady vlády pro informační společnost</w:t>
      </w:r>
      <w:r w:rsidR="00E07C52" w:rsidRPr="001414DB">
        <w:rPr>
          <w:rFonts w:ascii="Arial" w:hAnsi="Arial" w:cs="Arial"/>
          <w:sz w:val="20"/>
          <w:szCs w:val="20"/>
        </w:rPr>
        <w:t>. Realizace implementačních</w:t>
      </w:r>
      <w:r w:rsidR="00906B78" w:rsidRPr="001414DB">
        <w:rPr>
          <w:rFonts w:ascii="Arial" w:hAnsi="Arial" w:cs="Arial"/>
          <w:sz w:val="20"/>
          <w:szCs w:val="20"/>
        </w:rPr>
        <w:t xml:space="preserve"> plánů je také konfrontována se </w:t>
      </w:r>
      <w:r w:rsidR="00E07C52" w:rsidRPr="001414DB">
        <w:rPr>
          <w:rFonts w:ascii="Arial" w:hAnsi="Arial" w:cs="Arial"/>
          <w:sz w:val="20"/>
          <w:szCs w:val="20"/>
        </w:rPr>
        <w:t>systémem řízení rizik, do něhož je zařazeno i</w:t>
      </w:r>
      <w:r w:rsidR="00493A4E" w:rsidRPr="001414DB">
        <w:rPr>
          <w:rFonts w:ascii="Arial" w:hAnsi="Arial" w:cs="Arial"/>
          <w:sz w:val="20"/>
          <w:szCs w:val="20"/>
        </w:rPr>
        <w:t> </w:t>
      </w:r>
      <w:r w:rsidR="00E07C52" w:rsidRPr="001414DB">
        <w:rPr>
          <w:rFonts w:ascii="Arial" w:hAnsi="Arial" w:cs="Arial"/>
          <w:sz w:val="20"/>
          <w:szCs w:val="20"/>
        </w:rPr>
        <w:t xml:space="preserve">riziko nesplnění </w:t>
      </w:r>
      <w:r w:rsidR="00493A4E" w:rsidRPr="001414DB">
        <w:rPr>
          <w:rFonts w:ascii="Arial" w:hAnsi="Arial" w:cs="Arial"/>
          <w:sz w:val="20"/>
          <w:szCs w:val="20"/>
        </w:rPr>
        <w:t>PP</w:t>
      </w:r>
      <w:r w:rsidR="00E07C52" w:rsidRPr="001414DB">
        <w:rPr>
          <w:rFonts w:ascii="Arial" w:hAnsi="Arial" w:cs="Arial"/>
          <w:sz w:val="20"/>
          <w:szCs w:val="20"/>
        </w:rPr>
        <w:t>.</w:t>
      </w:r>
    </w:p>
    <w:p w:rsidR="00E07C52" w:rsidRPr="001414DB" w:rsidRDefault="00E07C52" w:rsidP="001414DB">
      <w:pPr>
        <w:keepNext/>
        <w:spacing w:before="240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</w:pPr>
      <w:r w:rsidRPr="001414DB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</w:rPr>
        <w:t xml:space="preserve">T 11 Služební zákon </w:t>
      </w:r>
    </w:p>
    <w:p w:rsidR="00E07C52" w:rsidRPr="001414DB" w:rsidRDefault="00E07C52" w:rsidP="001414DB">
      <w:pPr>
        <w:spacing w:before="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 w:rsidRPr="001414D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(gestor: sekce náměstka pro státní službu, problematika odměňování gestor: ministerstvo práce a sociálních věcí a ministerstvo financí)</w:t>
      </w:r>
    </w:p>
    <w:p w:rsidR="0075484C" w:rsidRPr="001414DB" w:rsidRDefault="0075484C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Komplexní aktualizace Metodického pokynu k rozvoji li</w:t>
      </w:r>
      <w:r w:rsidR="00906B78" w:rsidRPr="001414DB">
        <w:rPr>
          <w:rFonts w:ascii="Arial" w:hAnsi="Arial" w:cs="Arial"/>
          <w:sz w:val="20"/>
          <w:szCs w:val="20"/>
        </w:rPr>
        <w:t xml:space="preserve">dských zdrojů </w:t>
      </w:r>
      <w:r w:rsidR="00B60850" w:rsidRPr="001414DB">
        <w:rPr>
          <w:rFonts w:ascii="Arial" w:hAnsi="Arial" w:cs="Arial"/>
          <w:sz w:val="20"/>
          <w:szCs w:val="20"/>
        </w:rPr>
        <w:t>započala</w:t>
      </w:r>
      <w:r w:rsidR="00906B78" w:rsidRPr="001414DB">
        <w:rPr>
          <w:rFonts w:ascii="Arial" w:hAnsi="Arial" w:cs="Arial"/>
          <w:sz w:val="20"/>
          <w:szCs w:val="20"/>
        </w:rPr>
        <w:t xml:space="preserve"> po </w:t>
      </w:r>
      <w:r w:rsidRPr="001414DB">
        <w:rPr>
          <w:rFonts w:ascii="Arial" w:hAnsi="Arial" w:cs="Arial"/>
          <w:sz w:val="20"/>
          <w:szCs w:val="20"/>
        </w:rPr>
        <w:t>vstupu všech prováděcích předpisů zákona č. 2</w:t>
      </w:r>
      <w:r w:rsidR="00906B78" w:rsidRPr="001414DB">
        <w:rPr>
          <w:rFonts w:ascii="Arial" w:hAnsi="Arial" w:cs="Arial"/>
          <w:sz w:val="20"/>
          <w:szCs w:val="20"/>
        </w:rPr>
        <w:t>34/2014 Sb., o státní službě, v </w:t>
      </w:r>
      <w:r w:rsidRPr="001414DB">
        <w:rPr>
          <w:rFonts w:ascii="Arial" w:hAnsi="Arial" w:cs="Arial"/>
          <w:sz w:val="20"/>
          <w:szCs w:val="20"/>
        </w:rPr>
        <w:t xml:space="preserve">platnost. </w:t>
      </w:r>
      <w:r w:rsidR="00B60850" w:rsidRPr="001414DB">
        <w:rPr>
          <w:rFonts w:ascii="Arial" w:hAnsi="Arial" w:cs="Arial"/>
          <w:sz w:val="20"/>
          <w:szCs w:val="20"/>
        </w:rPr>
        <w:t>Nyní je aktualizace Metodického pokynu k rozvoji lidských zdrojů ve schvalovacím procesu</w:t>
      </w:r>
      <w:r w:rsidR="00C8038C" w:rsidRPr="001414DB">
        <w:rPr>
          <w:rFonts w:ascii="Arial" w:hAnsi="Arial" w:cs="Arial"/>
          <w:sz w:val="20"/>
          <w:szCs w:val="20"/>
        </w:rPr>
        <w:t>.</w:t>
      </w:r>
    </w:p>
    <w:p w:rsidR="003E0580" w:rsidRPr="001414DB" w:rsidRDefault="003E0580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Zároveň došlo k první systemizaci a tím i naplnění jednoho z k</w:t>
      </w:r>
      <w:r w:rsidR="002F4020" w:rsidRPr="001414DB">
        <w:rPr>
          <w:rFonts w:ascii="Arial" w:hAnsi="Arial" w:cs="Arial"/>
          <w:sz w:val="20"/>
          <w:szCs w:val="20"/>
        </w:rPr>
        <w:t>ritérií předběžné podmínky, tím </w:t>
      </w:r>
      <w:r w:rsidRPr="001414DB">
        <w:rPr>
          <w:rFonts w:ascii="Arial" w:hAnsi="Arial" w:cs="Arial"/>
          <w:sz w:val="20"/>
          <w:szCs w:val="20"/>
        </w:rPr>
        <w:t>pádem se zvýšila i procentuální míra splnění, a to na 50%.</w:t>
      </w:r>
      <w:bookmarkEnd w:id="0"/>
      <w:bookmarkEnd w:id="1"/>
    </w:p>
    <w:p w:rsidR="006D509B" w:rsidRPr="001414DB" w:rsidRDefault="006D509B" w:rsidP="001414DB">
      <w:pPr>
        <w:pStyle w:val="TextNOK"/>
        <w:numPr>
          <w:ilvl w:val="0"/>
          <w:numId w:val="23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414DB">
        <w:rPr>
          <w:rFonts w:ascii="Arial" w:hAnsi="Arial" w:cs="Arial"/>
          <w:sz w:val="20"/>
          <w:szCs w:val="20"/>
        </w:rPr>
        <w:t>Další jednání s EK tzv. „</w:t>
      </w:r>
      <w:proofErr w:type="spellStart"/>
      <w:r w:rsidRPr="001414DB">
        <w:rPr>
          <w:rFonts w:ascii="Arial" w:hAnsi="Arial" w:cs="Arial"/>
          <w:sz w:val="20"/>
          <w:szCs w:val="20"/>
        </w:rPr>
        <w:t>Task</w:t>
      </w:r>
      <w:proofErr w:type="spellEnd"/>
      <w:r w:rsidRPr="001414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14DB">
        <w:rPr>
          <w:rFonts w:ascii="Arial" w:hAnsi="Arial" w:cs="Arial"/>
          <w:sz w:val="20"/>
          <w:szCs w:val="20"/>
        </w:rPr>
        <w:t>Force</w:t>
      </w:r>
      <w:proofErr w:type="spellEnd"/>
      <w:r w:rsidRPr="001414DB">
        <w:rPr>
          <w:rFonts w:ascii="Arial" w:hAnsi="Arial" w:cs="Arial"/>
          <w:sz w:val="20"/>
          <w:szCs w:val="20"/>
        </w:rPr>
        <w:t>“ proběhne</w:t>
      </w:r>
      <w:r w:rsidR="0022184C" w:rsidRPr="001414DB">
        <w:rPr>
          <w:rFonts w:ascii="Arial" w:hAnsi="Arial" w:cs="Arial"/>
          <w:sz w:val="20"/>
          <w:szCs w:val="20"/>
        </w:rPr>
        <w:t xml:space="preserve"> dne </w:t>
      </w:r>
      <w:r w:rsidRPr="001414DB">
        <w:rPr>
          <w:rFonts w:ascii="Arial" w:hAnsi="Arial" w:cs="Arial"/>
          <w:sz w:val="20"/>
          <w:szCs w:val="20"/>
        </w:rPr>
        <w:t>15. října 2015.</w:t>
      </w:r>
    </w:p>
    <w:sectPr w:rsidR="006D509B" w:rsidRPr="001414DB" w:rsidSect="001330C8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F2" w:rsidRDefault="00D00AF2" w:rsidP="009D4DEB">
      <w:pPr>
        <w:spacing w:before="0" w:line="240" w:lineRule="auto"/>
      </w:pPr>
      <w:r>
        <w:separator/>
      </w:r>
    </w:p>
  </w:endnote>
  <w:endnote w:type="continuationSeparator" w:id="0">
    <w:p w:rsidR="00D00AF2" w:rsidRDefault="00D00AF2" w:rsidP="009D4DEB">
      <w:pPr>
        <w:spacing w:before="0" w:line="240" w:lineRule="auto"/>
      </w:pPr>
      <w:r>
        <w:continuationSeparator/>
      </w:r>
    </w:p>
  </w:endnote>
  <w:endnote w:type="continuationNotice" w:id="1">
    <w:p w:rsidR="00D00AF2" w:rsidRDefault="00D00AF2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976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D6E5E" w:rsidRPr="0089063A" w:rsidRDefault="00FC3B27">
        <w:pPr>
          <w:pStyle w:val="Zpat"/>
          <w:jc w:val="center"/>
          <w:rPr>
            <w:rFonts w:ascii="Arial" w:hAnsi="Arial" w:cs="Arial"/>
          </w:rPr>
        </w:pPr>
        <w:r w:rsidRPr="0089063A">
          <w:rPr>
            <w:rFonts w:ascii="Arial" w:hAnsi="Arial" w:cs="Arial"/>
          </w:rPr>
          <w:fldChar w:fldCharType="begin"/>
        </w:r>
        <w:r w:rsidR="00ED6E5E" w:rsidRPr="0089063A">
          <w:rPr>
            <w:rFonts w:ascii="Arial" w:hAnsi="Arial" w:cs="Arial"/>
          </w:rPr>
          <w:instrText xml:space="preserve"> PAGE   \* MERGEFORMAT </w:instrText>
        </w:r>
        <w:r w:rsidRPr="0089063A">
          <w:rPr>
            <w:rFonts w:ascii="Arial" w:hAnsi="Arial" w:cs="Arial"/>
          </w:rPr>
          <w:fldChar w:fldCharType="separate"/>
        </w:r>
        <w:r w:rsidR="001C523D">
          <w:rPr>
            <w:rFonts w:ascii="Arial" w:hAnsi="Arial" w:cs="Arial"/>
            <w:noProof/>
          </w:rPr>
          <w:t>12</w:t>
        </w:r>
        <w:r w:rsidRPr="0089063A">
          <w:rPr>
            <w:rFonts w:ascii="Arial" w:hAnsi="Arial" w:cs="Arial"/>
            <w:noProof/>
          </w:rPr>
          <w:fldChar w:fldCharType="end"/>
        </w:r>
      </w:p>
    </w:sdtContent>
  </w:sdt>
  <w:p w:rsidR="00ED6E5E" w:rsidRDefault="00ED6E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F2" w:rsidRDefault="00D00AF2" w:rsidP="009D4DEB">
      <w:pPr>
        <w:spacing w:before="0" w:line="240" w:lineRule="auto"/>
      </w:pPr>
      <w:r>
        <w:separator/>
      </w:r>
    </w:p>
  </w:footnote>
  <w:footnote w:type="continuationSeparator" w:id="0">
    <w:p w:rsidR="00D00AF2" w:rsidRDefault="00D00AF2" w:rsidP="009D4DEB">
      <w:pPr>
        <w:spacing w:before="0" w:line="240" w:lineRule="auto"/>
      </w:pPr>
      <w:r>
        <w:continuationSeparator/>
      </w:r>
    </w:p>
  </w:footnote>
  <w:footnote w:type="continuationNotice" w:id="1">
    <w:p w:rsidR="00D00AF2" w:rsidRDefault="00D00AF2">
      <w:pPr>
        <w:spacing w:before="0" w:line="240" w:lineRule="auto"/>
      </w:pPr>
    </w:p>
  </w:footnote>
  <w:footnote w:id="2">
    <w:p w:rsidR="00ED6E5E" w:rsidRPr="00374117" w:rsidRDefault="00ED6E5E">
      <w:pPr>
        <w:pStyle w:val="Textpoznpodarou"/>
        <w:rPr>
          <w:rFonts w:ascii="Arial" w:hAnsi="Arial" w:cs="Arial"/>
          <w:sz w:val="18"/>
          <w:szCs w:val="18"/>
        </w:rPr>
      </w:pPr>
      <w:r w:rsidRPr="0037411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Zatím se jedná </w:t>
      </w:r>
      <w:r w:rsidRPr="00374117">
        <w:rPr>
          <w:rFonts w:ascii="Arial" w:hAnsi="Arial" w:cs="Arial"/>
          <w:sz w:val="18"/>
          <w:szCs w:val="18"/>
        </w:rPr>
        <w:t>pouze</w:t>
      </w:r>
      <w:r>
        <w:rPr>
          <w:rFonts w:ascii="Arial" w:hAnsi="Arial" w:cs="Arial"/>
          <w:sz w:val="18"/>
          <w:szCs w:val="18"/>
        </w:rPr>
        <w:t xml:space="preserve"> o</w:t>
      </w:r>
      <w:r w:rsidRPr="00374117">
        <w:rPr>
          <w:rFonts w:ascii="Arial" w:hAnsi="Arial" w:cs="Arial"/>
          <w:sz w:val="18"/>
          <w:szCs w:val="18"/>
        </w:rPr>
        <w:t xml:space="preserve"> předběžný termín, předpokládá se, že bude ze strany MPO upřesněn.</w:t>
      </w:r>
    </w:p>
  </w:footnote>
  <w:footnote w:id="3">
    <w:p w:rsidR="00ED6E5E" w:rsidRPr="00374117" w:rsidRDefault="00ED6E5E">
      <w:pPr>
        <w:pStyle w:val="Textpoznpodarou"/>
        <w:rPr>
          <w:rFonts w:ascii="Arial" w:hAnsi="Arial" w:cs="Arial"/>
          <w:sz w:val="18"/>
          <w:szCs w:val="18"/>
        </w:rPr>
      </w:pPr>
      <w:r w:rsidRPr="00374117">
        <w:rPr>
          <w:rStyle w:val="Znakapoznpodarou"/>
          <w:rFonts w:ascii="Arial" w:hAnsi="Arial" w:cs="Arial"/>
          <w:sz w:val="18"/>
          <w:szCs w:val="18"/>
        </w:rPr>
        <w:footnoteRef/>
      </w:r>
      <w:r w:rsidRPr="00374117">
        <w:rPr>
          <w:rFonts w:ascii="Arial" w:hAnsi="Arial" w:cs="Arial"/>
          <w:sz w:val="18"/>
          <w:szCs w:val="18"/>
        </w:rPr>
        <w:t xml:space="preserve"> PP 9.3 je z pohledu gestora vnímána jako splněná. Zatím neproběhla verifikace ze strany EK.</w:t>
      </w:r>
    </w:p>
  </w:footnote>
  <w:footnote w:id="4">
    <w:p w:rsidR="00ED6E5E" w:rsidRPr="00374117" w:rsidRDefault="00ED6E5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74117">
        <w:rPr>
          <w:rFonts w:ascii="Arial" w:hAnsi="Arial" w:cs="Arial"/>
          <w:sz w:val="18"/>
          <w:szCs w:val="18"/>
        </w:rPr>
        <w:t>Dokument splňující PP 10.1 a 10.3 byl oficiálně zaslán na EK přes SFC. Nyní se očekává formální reakce/verifikace 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49"/>
    <w:multiLevelType w:val="hybridMultilevel"/>
    <w:tmpl w:val="0AA00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9DA"/>
    <w:multiLevelType w:val="hybridMultilevel"/>
    <w:tmpl w:val="0A78EF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A03F3"/>
    <w:multiLevelType w:val="hybridMultilevel"/>
    <w:tmpl w:val="6054D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196A"/>
    <w:multiLevelType w:val="multilevel"/>
    <w:tmpl w:val="72A242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13F37"/>
    <w:multiLevelType w:val="hybridMultilevel"/>
    <w:tmpl w:val="DB84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90113"/>
    <w:multiLevelType w:val="hybridMultilevel"/>
    <w:tmpl w:val="E66C4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1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0D5528"/>
    <w:multiLevelType w:val="hybridMultilevel"/>
    <w:tmpl w:val="61C088A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A450CED"/>
    <w:multiLevelType w:val="hybridMultilevel"/>
    <w:tmpl w:val="84E277EC"/>
    <w:lvl w:ilvl="0" w:tplc="0405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</w:lvl>
    <w:lvl w:ilvl="3" w:tplc="0405000F" w:tentative="1">
      <w:start w:val="1"/>
      <w:numFmt w:val="decimal"/>
      <w:lvlText w:val="%4."/>
      <w:lvlJc w:val="left"/>
      <w:pPr>
        <w:ind w:left="8191" w:hanging="360"/>
      </w:p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</w:lvl>
    <w:lvl w:ilvl="6" w:tplc="0405000F" w:tentative="1">
      <w:start w:val="1"/>
      <w:numFmt w:val="decimal"/>
      <w:lvlText w:val="%7."/>
      <w:lvlJc w:val="left"/>
      <w:pPr>
        <w:ind w:left="10351" w:hanging="360"/>
      </w:p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>
    <w:nsid w:val="1D347971"/>
    <w:multiLevelType w:val="hybridMultilevel"/>
    <w:tmpl w:val="CB8C4C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F31C0"/>
    <w:multiLevelType w:val="hybridMultilevel"/>
    <w:tmpl w:val="9C145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003D"/>
    <w:multiLevelType w:val="hybridMultilevel"/>
    <w:tmpl w:val="DB60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7F56"/>
    <w:multiLevelType w:val="multilevel"/>
    <w:tmpl w:val="6942A6BE"/>
    <w:lvl w:ilvl="0">
      <w:start w:val="1"/>
      <w:numFmt w:val="decimal"/>
      <w:pStyle w:val="List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322254"/>
    <w:multiLevelType w:val="hybridMultilevel"/>
    <w:tmpl w:val="3A46E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71606"/>
    <w:multiLevelType w:val="hybridMultilevel"/>
    <w:tmpl w:val="48E8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594"/>
    <w:multiLevelType w:val="hybridMultilevel"/>
    <w:tmpl w:val="E9283BB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2B2E428A"/>
    <w:multiLevelType w:val="hybridMultilevel"/>
    <w:tmpl w:val="F3CC9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F5CDC"/>
    <w:multiLevelType w:val="multilevel"/>
    <w:tmpl w:val="3EB04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085C"/>
    <w:multiLevelType w:val="hybridMultilevel"/>
    <w:tmpl w:val="D0B07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4088"/>
    <w:multiLevelType w:val="hybridMultilevel"/>
    <w:tmpl w:val="EF6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B792A"/>
    <w:multiLevelType w:val="hybridMultilevel"/>
    <w:tmpl w:val="4AEEF31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3C141BEA"/>
    <w:multiLevelType w:val="hybridMultilevel"/>
    <w:tmpl w:val="3C064128"/>
    <w:lvl w:ilvl="0" w:tplc="90962C3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A1965FCA">
      <w:numFmt w:val="bullet"/>
      <w:lvlText w:val="-"/>
      <w:lvlJc w:val="left"/>
      <w:pPr>
        <w:ind w:left="1654" w:hanging="360"/>
      </w:pPr>
      <w:rPr>
        <w:rFonts w:ascii="Times New Roman" w:eastAsia="Times New Roman" w:hAnsi="Times New Roman" w:cs="Times New Roman" w:hint="default"/>
      </w:rPr>
    </w:lvl>
    <w:lvl w:ilvl="2" w:tplc="520C2986" w:tentative="1">
      <w:start w:val="1"/>
      <w:numFmt w:val="lowerRoman"/>
      <w:lvlText w:val="%3."/>
      <w:lvlJc w:val="right"/>
      <w:pPr>
        <w:ind w:left="2374" w:hanging="180"/>
      </w:pPr>
    </w:lvl>
    <w:lvl w:ilvl="3" w:tplc="74B48D80" w:tentative="1">
      <w:start w:val="1"/>
      <w:numFmt w:val="decimal"/>
      <w:lvlText w:val="%4."/>
      <w:lvlJc w:val="left"/>
      <w:pPr>
        <w:ind w:left="3094" w:hanging="360"/>
      </w:pPr>
    </w:lvl>
    <w:lvl w:ilvl="4" w:tplc="E6A6ED9E" w:tentative="1">
      <w:start w:val="1"/>
      <w:numFmt w:val="lowerLetter"/>
      <w:lvlText w:val="%5."/>
      <w:lvlJc w:val="left"/>
      <w:pPr>
        <w:ind w:left="3814" w:hanging="360"/>
      </w:pPr>
    </w:lvl>
    <w:lvl w:ilvl="5" w:tplc="4BE041F6" w:tentative="1">
      <w:start w:val="1"/>
      <w:numFmt w:val="lowerRoman"/>
      <w:lvlText w:val="%6."/>
      <w:lvlJc w:val="right"/>
      <w:pPr>
        <w:ind w:left="4534" w:hanging="180"/>
      </w:pPr>
    </w:lvl>
    <w:lvl w:ilvl="6" w:tplc="F678075A" w:tentative="1">
      <w:start w:val="1"/>
      <w:numFmt w:val="decimal"/>
      <w:lvlText w:val="%7."/>
      <w:lvlJc w:val="left"/>
      <w:pPr>
        <w:ind w:left="5254" w:hanging="360"/>
      </w:pPr>
    </w:lvl>
    <w:lvl w:ilvl="7" w:tplc="81284B70" w:tentative="1">
      <w:start w:val="1"/>
      <w:numFmt w:val="lowerLetter"/>
      <w:lvlText w:val="%8."/>
      <w:lvlJc w:val="left"/>
      <w:pPr>
        <w:ind w:left="5974" w:hanging="360"/>
      </w:pPr>
    </w:lvl>
    <w:lvl w:ilvl="8" w:tplc="A00C6698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>
    <w:nsid w:val="3CD449F7"/>
    <w:multiLevelType w:val="hybridMultilevel"/>
    <w:tmpl w:val="98BC1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FC9"/>
    <w:multiLevelType w:val="multilevel"/>
    <w:tmpl w:val="C98EE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00793B"/>
    <w:multiLevelType w:val="multilevel"/>
    <w:tmpl w:val="AE64B5FE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46503E1E"/>
    <w:multiLevelType w:val="hybridMultilevel"/>
    <w:tmpl w:val="987E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F7840"/>
    <w:multiLevelType w:val="hybridMultilevel"/>
    <w:tmpl w:val="FA6E13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F6719F"/>
    <w:multiLevelType w:val="hybridMultilevel"/>
    <w:tmpl w:val="4A7A97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965FCA">
      <w:numFmt w:val="bullet"/>
      <w:lvlText w:val="-"/>
      <w:lvlJc w:val="left"/>
      <w:pPr>
        <w:ind w:left="1654" w:hanging="360"/>
      </w:pPr>
      <w:rPr>
        <w:rFonts w:ascii="Times New Roman" w:eastAsia="Times New Roman" w:hAnsi="Times New Roman" w:cs="Times New Roman" w:hint="default"/>
      </w:rPr>
    </w:lvl>
    <w:lvl w:ilvl="2" w:tplc="520C2986" w:tentative="1">
      <w:start w:val="1"/>
      <w:numFmt w:val="lowerRoman"/>
      <w:lvlText w:val="%3."/>
      <w:lvlJc w:val="right"/>
      <w:pPr>
        <w:ind w:left="2374" w:hanging="180"/>
      </w:pPr>
    </w:lvl>
    <w:lvl w:ilvl="3" w:tplc="74B48D80" w:tentative="1">
      <w:start w:val="1"/>
      <w:numFmt w:val="decimal"/>
      <w:lvlText w:val="%4."/>
      <w:lvlJc w:val="left"/>
      <w:pPr>
        <w:ind w:left="3094" w:hanging="360"/>
      </w:pPr>
    </w:lvl>
    <w:lvl w:ilvl="4" w:tplc="E6A6ED9E" w:tentative="1">
      <w:start w:val="1"/>
      <w:numFmt w:val="lowerLetter"/>
      <w:lvlText w:val="%5."/>
      <w:lvlJc w:val="left"/>
      <w:pPr>
        <w:ind w:left="3814" w:hanging="360"/>
      </w:pPr>
    </w:lvl>
    <w:lvl w:ilvl="5" w:tplc="4BE041F6" w:tentative="1">
      <w:start w:val="1"/>
      <w:numFmt w:val="lowerRoman"/>
      <w:lvlText w:val="%6."/>
      <w:lvlJc w:val="right"/>
      <w:pPr>
        <w:ind w:left="4534" w:hanging="180"/>
      </w:pPr>
    </w:lvl>
    <w:lvl w:ilvl="6" w:tplc="F678075A" w:tentative="1">
      <w:start w:val="1"/>
      <w:numFmt w:val="decimal"/>
      <w:lvlText w:val="%7."/>
      <w:lvlJc w:val="left"/>
      <w:pPr>
        <w:ind w:left="5254" w:hanging="360"/>
      </w:pPr>
    </w:lvl>
    <w:lvl w:ilvl="7" w:tplc="81284B70" w:tentative="1">
      <w:start w:val="1"/>
      <w:numFmt w:val="lowerLetter"/>
      <w:lvlText w:val="%8."/>
      <w:lvlJc w:val="left"/>
      <w:pPr>
        <w:ind w:left="5974" w:hanging="360"/>
      </w:pPr>
    </w:lvl>
    <w:lvl w:ilvl="8" w:tplc="A00C6698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>
    <w:nsid w:val="4B357D0D"/>
    <w:multiLevelType w:val="hybridMultilevel"/>
    <w:tmpl w:val="59AEB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110B1"/>
    <w:multiLevelType w:val="hybridMultilevel"/>
    <w:tmpl w:val="374E1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56925"/>
    <w:multiLevelType w:val="hybridMultilevel"/>
    <w:tmpl w:val="4C12CF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2E0229C"/>
    <w:multiLevelType w:val="hybridMultilevel"/>
    <w:tmpl w:val="FC48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14886"/>
    <w:multiLevelType w:val="hybridMultilevel"/>
    <w:tmpl w:val="13784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50213"/>
    <w:multiLevelType w:val="hybridMultilevel"/>
    <w:tmpl w:val="AF5AB286"/>
    <w:lvl w:ilvl="0" w:tplc="E6D4D87C">
      <w:start w:val="3"/>
      <w:numFmt w:val="bullet"/>
      <w:lvlText w:val="-"/>
      <w:lvlJc w:val="left"/>
      <w:pPr>
        <w:ind w:left="852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5">
    <w:nsid w:val="5E15217A"/>
    <w:multiLevelType w:val="hybridMultilevel"/>
    <w:tmpl w:val="A350DB82"/>
    <w:lvl w:ilvl="0" w:tplc="129067E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B3CC2"/>
    <w:multiLevelType w:val="hybridMultilevel"/>
    <w:tmpl w:val="7020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D1C40"/>
    <w:multiLevelType w:val="hybridMultilevel"/>
    <w:tmpl w:val="074EB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D25E3"/>
    <w:multiLevelType w:val="multilevel"/>
    <w:tmpl w:val="471EB360"/>
    <w:styleLink w:val="List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357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39">
    <w:nsid w:val="7344385F"/>
    <w:multiLevelType w:val="hybridMultilevel"/>
    <w:tmpl w:val="9A2E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B6B42"/>
    <w:multiLevelType w:val="hybridMultilevel"/>
    <w:tmpl w:val="9E74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3457C"/>
    <w:multiLevelType w:val="hybridMultilevel"/>
    <w:tmpl w:val="F098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38"/>
  </w:num>
  <w:num w:numId="5">
    <w:abstractNumId w:val="27"/>
  </w:num>
  <w:num w:numId="6">
    <w:abstractNumId w:val="1"/>
  </w:num>
  <w:num w:numId="7">
    <w:abstractNumId w:val="17"/>
  </w:num>
  <w:num w:numId="8">
    <w:abstractNumId w:val="3"/>
  </w:num>
  <w:num w:numId="9">
    <w:abstractNumId w:val="16"/>
  </w:num>
  <w:num w:numId="10">
    <w:abstractNumId w:val="11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37"/>
  </w:num>
  <w:num w:numId="16">
    <w:abstractNumId w:val="14"/>
  </w:num>
  <w:num w:numId="17">
    <w:abstractNumId w:val="2"/>
  </w:num>
  <w:num w:numId="18">
    <w:abstractNumId w:val="41"/>
  </w:num>
  <w:num w:numId="19">
    <w:abstractNumId w:val="1"/>
  </w:num>
  <w:num w:numId="20">
    <w:abstractNumId w:val="9"/>
  </w:num>
  <w:num w:numId="21">
    <w:abstractNumId w:val="36"/>
  </w:num>
  <w:num w:numId="22">
    <w:abstractNumId w:val="19"/>
  </w:num>
  <w:num w:numId="23">
    <w:abstractNumId w:val="39"/>
  </w:num>
  <w:num w:numId="24">
    <w:abstractNumId w:val="31"/>
  </w:num>
  <w:num w:numId="25">
    <w:abstractNumId w:val="25"/>
  </w:num>
  <w:num w:numId="26">
    <w:abstractNumId w:val="6"/>
  </w:num>
  <w:num w:numId="27">
    <w:abstractNumId w:val="25"/>
  </w:num>
  <w:num w:numId="28">
    <w:abstractNumId w:val="26"/>
  </w:num>
  <w:num w:numId="29">
    <w:abstractNumId w:val="39"/>
  </w:num>
  <w:num w:numId="30">
    <w:abstractNumId w:val="13"/>
  </w:num>
  <w:num w:numId="31">
    <w:abstractNumId w:val="7"/>
  </w:num>
  <w:num w:numId="32">
    <w:abstractNumId w:val="21"/>
  </w:num>
  <w:num w:numId="33">
    <w:abstractNumId w:val="15"/>
  </w:num>
  <w:num w:numId="34">
    <w:abstractNumId w:val="22"/>
  </w:num>
  <w:num w:numId="35">
    <w:abstractNumId w:val="28"/>
  </w:num>
  <w:num w:numId="36">
    <w:abstractNumId w:val="0"/>
  </w:num>
  <w:num w:numId="37">
    <w:abstractNumId w:val="33"/>
  </w:num>
  <w:num w:numId="38">
    <w:abstractNumId w:val="34"/>
  </w:num>
  <w:num w:numId="39">
    <w:abstractNumId w:val="5"/>
  </w:num>
  <w:num w:numId="40">
    <w:abstractNumId w:val="29"/>
  </w:num>
  <w:num w:numId="41">
    <w:abstractNumId w:val="4"/>
  </w:num>
  <w:num w:numId="42">
    <w:abstractNumId w:val="8"/>
  </w:num>
  <w:num w:numId="43">
    <w:abstractNumId w:val="24"/>
  </w:num>
  <w:num w:numId="44">
    <w:abstractNumId w:val="32"/>
  </w:num>
  <w:num w:numId="45">
    <w:abstractNumId w:val="23"/>
  </w:num>
  <w:num w:numId="46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C3219"/>
    <w:rsid w:val="00000647"/>
    <w:rsid w:val="000015D0"/>
    <w:rsid w:val="00002A66"/>
    <w:rsid w:val="00004C16"/>
    <w:rsid w:val="00007602"/>
    <w:rsid w:val="00007912"/>
    <w:rsid w:val="00011055"/>
    <w:rsid w:val="0001209F"/>
    <w:rsid w:val="00013349"/>
    <w:rsid w:val="0001365E"/>
    <w:rsid w:val="000143B4"/>
    <w:rsid w:val="000144C8"/>
    <w:rsid w:val="00014941"/>
    <w:rsid w:val="00014FD2"/>
    <w:rsid w:val="000160DA"/>
    <w:rsid w:val="000209E5"/>
    <w:rsid w:val="00021465"/>
    <w:rsid w:val="0002206E"/>
    <w:rsid w:val="00023827"/>
    <w:rsid w:val="00023E2E"/>
    <w:rsid w:val="00024BF7"/>
    <w:rsid w:val="00025A9D"/>
    <w:rsid w:val="00027478"/>
    <w:rsid w:val="000279EC"/>
    <w:rsid w:val="00027EA4"/>
    <w:rsid w:val="0003082D"/>
    <w:rsid w:val="000317DA"/>
    <w:rsid w:val="00033326"/>
    <w:rsid w:val="000335AF"/>
    <w:rsid w:val="0003440E"/>
    <w:rsid w:val="00034AFA"/>
    <w:rsid w:val="00035000"/>
    <w:rsid w:val="00035E9D"/>
    <w:rsid w:val="000363C1"/>
    <w:rsid w:val="00037848"/>
    <w:rsid w:val="0004116D"/>
    <w:rsid w:val="00042490"/>
    <w:rsid w:val="000425D4"/>
    <w:rsid w:val="00042924"/>
    <w:rsid w:val="00045B16"/>
    <w:rsid w:val="0004609D"/>
    <w:rsid w:val="0004703A"/>
    <w:rsid w:val="000472C7"/>
    <w:rsid w:val="00050711"/>
    <w:rsid w:val="00051E49"/>
    <w:rsid w:val="0005231A"/>
    <w:rsid w:val="0005245D"/>
    <w:rsid w:val="00052AB6"/>
    <w:rsid w:val="00053B22"/>
    <w:rsid w:val="00054495"/>
    <w:rsid w:val="00055265"/>
    <w:rsid w:val="00056875"/>
    <w:rsid w:val="000569AF"/>
    <w:rsid w:val="0006073B"/>
    <w:rsid w:val="00062136"/>
    <w:rsid w:val="00063D89"/>
    <w:rsid w:val="00064876"/>
    <w:rsid w:val="00065049"/>
    <w:rsid w:val="0006598F"/>
    <w:rsid w:val="000665E4"/>
    <w:rsid w:val="000667E9"/>
    <w:rsid w:val="0006705E"/>
    <w:rsid w:val="0006758C"/>
    <w:rsid w:val="00070218"/>
    <w:rsid w:val="000716F1"/>
    <w:rsid w:val="000722F6"/>
    <w:rsid w:val="00072829"/>
    <w:rsid w:val="0007350D"/>
    <w:rsid w:val="00073BCD"/>
    <w:rsid w:val="00074D6F"/>
    <w:rsid w:val="00076C26"/>
    <w:rsid w:val="00076DE4"/>
    <w:rsid w:val="00077C85"/>
    <w:rsid w:val="00080DAD"/>
    <w:rsid w:val="00081FB3"/>
    <w:rsid w:val="00082124"/>
    <w:rsid w:val="00083B1D"/>
    <w:rsid w:val="00085978"/>
    <w:rsid w:val="00085CC8"/>
    <w:rsid w:val="00086404"/>
    <w:rsid w:val="000871A9"/>
    <w:rsid w:val="00087521"/>
    <w:rsid w:val="00087961"/>
    <w:rsid w:val="00090789"/>
    <w:rsid w:val="000912DA"/>
    <w:rsid w:val="00093E82"/>
    <w:rsid w:val="00094784"/>
    <w:rsid w:val="00094A37"/>
    <w:rsid w:val="00095008"/>
    <w:rsid w:val="0009635F"/>
    <w:rsid w:val="000966CE"/>
    <w:rsid w:val="00096FBC"/>
    <w:rsid w:val="000976E3"/>
    <w:rsid w:val="000A0446"/>
    <w:rsid w:val="000A0658"/>
    <w:rsid w:val="000A06F9"/>
    <w:rsid w:val="000A0D7C"/>
    <w:rsid w:val="000A102F"/>
    <w:rsid w:val="000A4B34"/>
    <w:rsid w:val="000A4D89"/>
    <w:rsid w:val="000A51D0"/>
    <w:rsid w:val="000A7794"/>
    <w:rsid w:val="000B0118"/>
    <w:rsid w:val="000B08DC"/>
    <w:rsid w:val="000B1AEB"/>
    <w:rsid w:val="000B3FD9"/>
    <w:rsid w:val="000B4A10"/>
    <w:rsid w:val="000B586C"/>
    <w:rsid w:val="000B5993"/>
    <w:rsid w:val="000B696F"/>
    <w:rsid w:val="000B6BFB"/>
    <w:rsid w:val="000B7800"/>
    <w:rsid w:val="000C0727"/>
    <w:rsid w:val="000C0FAA"/>
    <w:rsid w:val="000C10A6"/>
    <w:rsid w:val="000C1EE3"/>
    <w:rsid w:val="000C46ED"/>
    <w:rsid w:val="000C5C01"/>
    <w:rsid w:val="000C657D"/>
    <w:rsid w:val="000C714C"/>
    <w:rsid w:val="000C763E"/>
    <w:rsid w:val="000D0C1D"/>
    <w:rsid w:val="000D0F5C"/>
    <w:rsid w:val="000D103B"/>
    <w:rsid w:val="000D2BA9"/>
    <w:rsid w:val="000D2E23"/>
    <w:rsid w:val="000D38FC"/>
    <w:rsid w:val="000D562B"/>
    <w:rsid w:val="000D691A"/>
    <w:rsid w:val="000E035C"/>
    <w:rsid w:val="000E044D"/>
    <w:rsid w:val="000E0C2F"/>
    <w:rsid w:val="000E0EF7"/>
    <w:rsid w:val="000E1512"/>
    <w:rsid w:val="000E22BF"/>
    <w:rsid w:val="000E3006"/>
    <w:rsid w:val="000E3253"/>
    <w:rsid w:val="000E6E42"/>
    <w:rsid w:val="000E72E3"/>
    <w:rsid w:val="000F049B"/>
    <w:rsid w:val="000F0DAC"/>
    <w:rsid w:val="000F2A99"/>
    <w:rsid w:val="000F2CA1"/>
    <w:rsid w:val="000F3490"/>
    <w:rsid w:val="000F5970"/>
    <w:rsid w:val="000F69A3"/>
    <w:rsid w:val="000F7573"/>
    <w:rsid w:val="000F79FC"/>
    <w:rsid w:val="000F7E92"/>
    <w:rsid w:val="001007F9"/>
    <w:rsid w:val="00100EF1"/>
    <w:rsid w:val="00101E5B"/>
    <w:rsid w:val="0010255B"/>
    <w:rsid w:val="00102B48"/>
    <w:rsid w:val="00103592"/>
    <w:rsid w:val="0010410B"/>
    <w:rsid w:val="001068C0"/>
    <w:rsid w:val="00107577"/>
    <w:rsid w:val="00110F75"/>
    <w:rsid w:val="00111A0B"/>
    <w:rsid w:val="00111A92"/>
    <w:rsid w:val="00112089"/>
    <w:rsid w:val="00114E5C"/>
    <w:rsid w:val="001201BC"/>
    <w:rsid w:val="001216A1"/>
    <w:rsid w:val="0012175C"/>
    <w:rsid w:val="00121A15"/>
    <w:rsid w:val="00121D24"/>
    <w:rsid w:val="00123789"/>
    <w:rsid w:val="00123D3D"/>
    <w:rsid w:val="001240A1"/>
    <w:rsid w:val="00124529"/>
    <w:rsid w:val="0012499F"/>
    <w:rsid w:val="00125735"/>
    <w:rsid w:val="00125754"/>
    <w:rsid w:val="00125853"/>
    <w:rsid w:val="001260C9"/>
    <w:rsid w:val="00126CF2"/>
    <w:rsid w:val="001270D4"/>
    <w:rsid w:val="00127F40"/>
    <w:rsid w:val="0013016B"/>
    <w:rsid w:val="00132493"/>
    <w:rsid w:val="00132DF7"/>
    <w:rsid w:val="001330C8"/>
    <w:rsid w:val="00135E05"/>
    <w:rsid w:val="00135E73"/>
    <w:rsid w:val="0013660B"/>
    <w:rsid w:val="00136ECE"/>
    <w:rsid w:val="00137538"/>
    <w:rsid w:val="001414DB"/>
    <w:rsid w:val="0014171B"/>
    <w:rsid w:val="00141C76"/>
    <w:rsid w:val="00146535"/>
    <w:rsid w:val="00146D71"/>
    <w:rsid w:val="0014796D"/>
    <w:rsid w:val="00153AA0"/>
    <w:rsid w:val="0015475C"/>
    <w:rsid w:val="00154C56"/>
    <w:rsid w:val="00154C84"/>
    <w:rsid w:val="001557A4"/>
    <w:rsid w:val="00155991"/>
    <w:rsid w:val="00155D9A"/>
    <w:rsid w:val="00156FBD"/>
    <w:rsid w:val="00157143"/>
    <w:rsid w:val="0016189E"/>
    <w:rsid w:val="00162E26"/>
    <w:rsid w:val="001635A1"/>
    <w:rsid w:val="00163995"/>
    <w:rsid w:val="001653CC"/>
    <w:rsid w:val="0016567B"/>
    <w:rsid w:val="00167594"/>
    <w:rsid w:val="00170F50"/>
    <w:rsid w:val="001713F8"/>
    <w:rsid w:val="00173652"/>
    <w:rsid w:val="00174C24"/>
    <w:rsid w:val="0017528D"/>
    <w:rsid w:val="00175417"/>
    <w:rsid w:val="00175A07"/>
    <w:rsid w:val="00176B89"/>
    <w:rsid w:val="00176FE1"/>
    <w:rsid w:val="001778D9"/>
    <w:rsid w:val="001804E2"/>
    <w:rsid w:val="001806D8"/>
    <w:rsid w:val="00182795"/>
    <w:rsid w:val="00182CF7"/>
    <w:rsid w:val="00182E6C"/>
    <w:rsid w:val="00184425"/>
    <w:rsid w:val="00184495"/>
    <w:rsid w:val="001859DA"/>
    <w:rsid w:val="001870D9"/>
    <w:rsid w:val="00190494"/>
    <w:rsid w:val="001922DE"/>
    <w:rsid w:val="0019389C"/>
    <w:rsid w:val="0019395F"/>
    <w:rsid w:val="00194127"/>
    <w:rsid w:val="0019453E"/>
    <w:rsid w:val="00194B00"/>
    <w:rsid w:val="0019582F"/>
    <w:rsid w:val="001A03C9"/>
    <w:rsid w:val="001A06B1"/>
    <w:rsid w:val="001A0AD3"/>
    <w:rsid w:val="001A3642"/>
    <w:rsid w:val="001A3C5F"/>
    <w:rsid w:val="001A796C"/>
    <w:rsid w:val="001A7D1B"/>
    <w:rsid w:val="001B09DD"/>
    <w:rsid w:val="001B4CD2"/>
    <w:rsid w:val="001B646B"/>
    <w:rsid w:val="001B70A2"/>
    <w:rsid w:val="001C06A9"/>
    <w:rsid w:val="001C1121"/>
    <w:rsid w:val="001C11B0"/>
    <w:rsid w:val="001C188C"/>
    <w:rsid w:val="001C276E"/>
    <w:rsid w:val="001C285C"/>
    <w:rsid w:val="001C3677"/>
    <w:rsid w:val="001C49F3"/>
    <w:rsid w:val="001C5122"/>
    <w:rsid w:val="001C523D"/>
    <w:rsid w:val="001C6AD6"/>
    <w:rsid w:val="001C6C6E"/>
    <w:rsid w:val="001C6DCA"/>
    <w:rsid w:val="001C7E46"/>
    <w:rsid w:val="001D01E2"/>
    <w:rsid w:val="001D033C"/>
    <w:rsid w:val="001D149A"/>
    <w:rsid w:val="001D2A46"/>
    <w:rsid w:val="001D316F"/>
    <w:rsid w:val="001D35AD"/>
    <w:rsid w:val="001D3AA1"/>
    <w:rsid w:val="001D4B08"/>
    <w:rsid w:val="001D70F8"/>
    <w:rsid w:val="001D7A52"/>
    <w:rsid w:val="001E029C"/>
    <w:rsid w:val="001E0A91"/>
    <w:rsid w:val="001E0D96"/>
    <w:rsid w:val="001E0ED3"/>
    <w:rsid w:val="001E1D7F"/>
    <w:rsid w:val="001E1FBC"/>
    <w:rsid w:val="001E3A15"/>
    <w:rsid w:val="001E3F9E"/>
    <w:rsid w:val="001E5A4D"/>
    <w:rsid w:val="001E6B72"/>
    <w:rsid w:val="001F0A42"/>
    <w:rsid w:val="001F0F3B"/>
    <w:rsid w:val="001F1B4B"/>
    <w:rsid w:val="001F1F14"/>
    <w:rsid w:val="001F2910"/>
    <w:rsid w:val="001F3778"/>
    <w:rsid w:val="001F3FBC"/>
    <w:rsid w:val="001F4579"/>
    <w:rsid w:val="001F45B4"/>
    <w:rsid w:val="001F5EDD"/>
    <w:rsid w:val="001F67A7"/>
    <w:rsid w:val="001F7330"/>
    <w:rsid w:val="001F7892"/>
    <w:rsid w:val="001F7A57"/>
    <w:rsid w:val="0020279F"/>
    <w:rsid w:val="002027F8"/>
    <w:rsid w:val="00202D7C"/>
    <w:rsid w:val="00202DB5"/>
    <w:rsid w:val="00206D37"/>
    <w:rsid w:val="002074D3"/>
    <w:rsid w:val="0020784D"/>
    <w:rsid w:val="002104AF"/>
    <w:rsid w:val="00211041"/>
    <w:rsid w:val="0021131B"/>
    <w:rsid w:val="00211561"/>
    <w:rsid w:val="002118A4"/>
    <w:rsid w:val="00212896"/>
    <w:rsid w:val="0021290D"/>
    <w:rsid w:val="00213B3E"/>
    <w:rsid w:val="00215F5D"/>
    <w:rsid w:val="00217F7C"/>
    <w:rsid w:val="00221777"/>
    <w:rsid w:val="0022184C"/>
    <w:rsid w:val="002228A0"/>
    <w:rsid w:val="00222D8C"/>
    <w:rsid w:val="0022352B"/>
    <w:rsid w:val="00225D7D"/>
    <w:rsid w:val="0022749A"/>
    <w:rsid w:val="002277AD"/>
    <w:rsid w:val="0023286C"/>
    <w:rsid w:val="00233745"/>
    <w:rsid w:val="00233C30"/>
    <w:rsid w:val="00233C8B"/>
    <w:rsid w:val="00233EF5"/>
    <w:rsid w:val="002343AC"/>
    <w:rsid w:val="002377EB"/>
    <w:rsid w:val="002379CC"/>
    <w:rsid w:val="002400D7"/>
    <w:rsid w:val="00241558"/>
    <w:rsid w:val="00241948"/>
    <w:rsid w:val="00241D04"/>
    <w:rsid w:val="00242104"/>
    <w:rsid w:val="00243DE3"/>
    <w:rsid w:val="00244E73"/>
    <w:rsid w:val="0024521A"/>
    <w:rsid w:val="002460C9"/>
    <w:rsid w:val="0024654D"/>
    <w:rsid w:val="00246ECC"/>
    <w:rsid w:val="00247DEA"/>
    <w:rsid w:val="00250007"/>
    <w:rsid w:val="0025023E"/>
    <w:rsid w:val="0025280A"/>
    <w:rsid w:val="00252886"/>
    <w:rsid w:val="00254B0B"/>
    <w:rsid w:val="0025569E"/>
    <w:rsid w:val="00255ED3"/>
    <w:rsid w:val="00256A91"/>
    <w:rsid w:val="00256D19"/>
    <w:rsid w:val="002578AE"/>
    <w:rsid w:val="00257CE4"/>
    <w:rsid w:val="0026206A"/>
    <w:rsid w:val="002642CC"/>
    <w:rsid w:val="002643AA"/>
    <w:rsid w:val="00265679"/>
    <w:rsid w:val="00266E99"/>
    <w:rsid w:val="0026755A"/>
    <w:rsid w:val="002709FB"/>
    <w:rsid w:val="00270B73"/>
    <w:rsid w:val="00270EB8"/>
    <w:rsid w:val="002714C4"/>
    <w:rsid w:val="002722F9"/>
    <w:rsid w:val="00272863"/>
    <w:rsid w:val="0027336C"/>
    <w:rsid w:val="002739F0"/>
    <w:rsid w:val="002747A3"/>
    <w:rsid w:val="002801E1"/>
    <w:rsid w:val="0028021C"/>
    <w:rsid w:val="00280D43"/>
    <w:rsid w:val="00280FDC"/>
    <w:rsid w:val="00281AA5"/>
    <w:rsid w:val="00281FBD"/>
    <w:rsid w:val="00283091"/>
    <w:rsid w:val="002836D3"/>
    <w:rsid w:val="002850D8"/>
    <w:rsid w:val="0028791C"/>
    <w:rsid w:val="00287A66"/>
    <w:rsid w:val="00287FE2"/>
    <w:rsid w:val="00290E91"/>
    <w:rsid w:val="00291E95"/>
    <w:rsid w:val="00291E9A"/>
    <w:rsid w:val="00293780"/>
    <w:rsid w:val="0029566A"/>
    <w:rsid w:val="00297B67"/>
    <w:rsid w:val="00297EB2"/>
    <w:rsid w:val="002A1442"/>
    <w:rsid w:val="002A1ED9"/>
    <w:rsid w:val="002A2825"/>
    <w:rsid w:val="002A29BE"/>
    <w:rsid w:val="002A3B8E"/>
    <w:rsid w:val="002A3C19"/>
    <w:rsid w:val="002A5454"/>
    <w:rsid w:val="002A56A3"/>
    <w:rsid w:val="002A6D86"/>
    <w:rsid w:val="002A71F4"/>
    <w:rsid w:val="002A7B39"/>
    <w:rsid w:val="002B3187"/>
    <w:rsid w:val="002B37F0"/>
    <w:rsid w:val="002B58B4"/>
    <w:rsid w:val="002B62FD"/>
    <w:rsid w:val="002B7096"/>
    <w:rsid w:val="002B7CE4"/>
    <w:rsid w:val="002C2678"/>
    <w:rsid w:val="002C41AB"/>
    <w:rsid w:val="002C43F2"/>
    <w:rsid w:val="002C6BCE"/>
    <w:rsid w:val="002C74E9"/>
    <w:rsid w:val="002D0A99"/>
    <w:rsid w:val="002D2016"/>
    <w:rsid w:val="002D2366"/>
    <w:rsid w:val="002D3415"/>
    <w:rsid w:val="002D3773"/>
    <w:rsid w:val="002D3CE5"/>
    <w:rsid w:val="002D4912"/>
    <w:rsid w:val="002D4D92"/>
    <w:rsid w:val="002E0344"/>
    <w:rsid w:val="002E2423"/>
    <w:rsid w:val="002E301B"/>
    <w:rsid w:val="002E4EA5"/>
    <w:rsid w:val="002E5E6D"/>
    <w:rsid w:val="002E67E5"/>
    <w:rsid w:val="002E68C4"/>
    <w:rsid w:val="002E778C"/>
    <w:rsid w:val="002E79E6"/>
    <w:rsid w:val="002F1832"/>
    <w:rsid w:val="002F1A54"/>
    <w:rsid w:val="002F30D9"/>
    <w:rsid w:val="002F4020"/>
    <w:rsid w:val="002F5621"/>
    <w:rsid w:val="002F7784"/>
    <w:rsid w:val="003016BD"/>
    <w:rsid w:val="00301E2D"/>
    <w:rsid w:val="00302287"/>
    <w:rsid w:val="00303431"/>
    <w:rsid w:val="003046CB"/>
    <w:rsid w:val="0030538F"/>
    <w:rsid w:val="00307A69"/>
    <w:rsid w:val="00307C42"/>
    <w:rsid w:val="00310A2B"/>
    <w:rsid w:val="0031108B"/>
    <w:rsid w:val="00311164"/>
    <w:rsid w:val="003140F7"/>
    <w:rsid w:val="003147F6"/>
    <w:rsid w:val="0031576B"/>
    <w:rsid w:val="00315E91"/>
    <w:rsid w:val="00316FF8"/>
    <w:rsid w:val="003179A5"/>
    <w:rsid w:val="003214A1"/>
    <w:rsid w:val="0032206E"/>
    <w:rsid w:val="00323107"/>
    <w:rsid w:val="00324382"/>
    <w:rsid w:val="00324AC7"/>
    <w:rsid w:val="00324B1F"/>
    <w:rsid w:val="00324DC4"/>
    <w:rsid w:val="003276DE"/>
    <w:rsid w:val="00330283"/>
    <w:rsid w:val="003307D0"/>
    <w:rsid w:val="0033151E"/>
    <w:rsid w:val="0033152A"/>
    <w:rsid w:val="00331FF5"/>
    <w:rsid w:val="00332B26"/>
    <w:rsid w:val="00332F68"/>
    <w:rsid w:val="00333267"/>
    <w:rsid w:val="003343BC"/>
    <w:rsid w:val="00340975"/>
    <w:rsid w:val="00340D94"/>
    <w:rsid w:val="003431AB"/>
    <w:rsid w:val="00344934"/>
    <w:rsid w:val="003463F1"/>
    <w:rsid w:val="003465FF"/>
    <w:rsid w:val="00346A15"/>
    <w:rsid w:val="003506CA"/>
    <w:rsid w:val="0035085A"/>
    <w:rsid w:val="00351126"/>
    <w:rsid w:val="00351316"/>
    <w:rsid w:val="00351881"/>
    <w:rsid w:val="00351B89"/>
    <w:rsid w:val="00351C48"/>
    <w:rsid w:val="0035219F"/>
    <w:rsid w:val="003524EF"/>
    <w:rsid w:val="00352580"/>
    <w:rsid w:val="003528EF"/>
    <w:rsid w:val="0035391E"/>
    <w:rsid w:val="00353D87"/>
    <w:rsid w:val="00354A57"/>
    <w:rsid w:val="003550A9"/>
    <w:rsid w:val="00355B3B"/>
    <w:rsid w:val="003573C7"/>
    <w:rsid w:val="0036067F"/>
    <w:rsid w:val="00362573"/>
    <w:rsid w:val="00362E66"/>
    <w:rsid w:val="00363AEC"/>
    <w:rsid w:val="003644F4"/>
    <w:rsid w:val="00364E04"/>
    <w:rsid w:val="00364F64"/>
    <w:rsid w:val="0036739F"/>
    <w:rsid w:val="003708C3"/>
    <w:rsid w:val="00370EA6"/>
    <w:rsid w:val="003716C8"/>
    <w:rsid w:val="00371EC4"/>
    <w:rsid w:val="003736CE"/>
    <w:rsid w:val="00373CC2"/>
    <w:rsid w:val="00373D7C"/>
    <w:rsid w:val="00373D91"/>
    <w:rsid w:val="00374117"/>
    <w:rsid w:val="00374848"/>
    <w:rsid w:val="0037489E"/>
    <w:rsid w:val="0037490C"/>
    <w:rsid w:val="003772B2"/>
    <w:rsid w:val="0037744D"/>
    <w:rsid w:val="00380C07"/>
    <w:rsid w:val="00382A22"/>
    <w:rsid w:val="00383663"/>
    <w:rsid w:val="00384CFC"/>
    <w:rsid w:val="00384EA3"/>
    <w:rsid w:val="0038615B"/>
    <w:rsid w:val="00386BF0"/>
    <w:rsid w:val="00386C67"/>
    <w:rsid w:val="00390D59"/>
    <w:rsid w:val="00391232"/>
    <w:rsid w:val="00391C6A"/>
    <w:rsid w:val="00392C7B"/>
    <w:rsid w:val="003933B1"/>
    <w:rsid w:val="00393900"/>
    <w:rsid w:val="003940CE"/>
    <w:rsid w:val="003943CD"/>
    <w:rsid w:val="003953D5"/>
    <w:rsid w:val="00396FAC"/>
    <w:rsid w:val="003A0F42"/>
    <w:rsid w:val="003A25C3"/>
    <w:rsid w:val="003A2CA4"/>
    <w:rsid w:val="003A3122"/>
    <w:rsid w:val="003A4AF4"/>
    <w:rsid w:val="003A6035"/>
    <w:rsid w:val="003A7524"/>
    <w:rsid w:val="003A7E4B"/>
    <w:rsid w:val="003B0F4C"/>
    <w:rsid w:val="003B1772"/>
    <w:rsid w:val="003B1852"/>
    <w:rsid w:val="003B3C04"/>
    <w:rsid w:val="003B42FE"/>
    <w:rsid w:val="003B49E7"/>
    <w:rsid w:val="003B4C75"/>
    <w:rsid w:val="003B5B30"/>
    <w:rsid w:val="003B5CA4"/>
    <w:rsid w:val="003B6640"/>
    <w:rsid w:val="003B667D"/>
    <w:rsid w:val="003B6AAB"/>
    <w:rsid w:val="003C01F8"/>
    <w:rsid w:val="003C098E"/>
    <w:rsid w:val="003C0BAA"/>
    <w:rsid w:val="003C0D2D"/>
    <w:rsid w:val="003C1B16"/>
    <w:rsid w:val="003C1C5E"/>
    <w:rsid w:val="003C282D"/>
    <w:rsid w:val="003C3B24"/>
    <w:rsid w:val="003C4357"/>
    <w:rsid w:val="003C468A"/>
    <w:rsid w:val="003C48B4"/>
    <w:rsid w:val="003C4B15"/>
    <w:rsid w:val="003D14D6"/>
    <w:rsid w:val="003D2C14"/>
    <w:rsid w:val="003D4B5F"/>
    <w:rsid w:val="003D5005"/>
    <w:rsid w:val="003D60A5"/>
    <w:rsid w:val="003D684D"/>
    <w:rsid w:val="003D6E9E"/>
    <w:rsid w:val="003E033B"/>
    <w:rsid w:val="003E0463"/>
    <w:rsid w:val="003E0580"/>
    <w:rsid w:val="003E2C66"/>
    <w:rsid w:val="003E71C9"/>
    <w:rsid w:val="003E7EA3"/>
    <w:rsid w:val="003F19BE"/>
    <w:rsid w:val="003F2CFC"/>
    <w:rsid w:val="003F3045"/>
    <w:rsid w:val="003F376E"/>
    <w:rsid w:val="003F390F"/>
    <w:rsid w:val="003F4AC3"/>
    <w:rsid w:val="003F553B"/>
    <w:rsid w:val="003F5E47"/>
    <w:rsid w:val="00401181"/>
    <w:rsid w:val="00401AD4"/>
    <w:rsid w:val="00402234"/>
    <w:rsid w:val="00402CF3"/>
    <w:rsid w:val="004045C3"/>
    <w:rsid w:val="00404656"/>
    <w:rsid w:val="00406A25"/>
    <w:rsid w:val="0040780E"/>
    <w:rsid w:val="00411F3C"/>
    <w:rsid w:val="00412538"/>
    <w:rsid w:val="00413415"/>
    <w:rsid w:val="00413584"/>
    <w:rsid w:val="00413AE4"/>
    <w:rsid w:val="004145F8"/>
    <w:rsid w:val="004157BB"/>
    <w:rsid w:val="00416D66"/>
    <w:rsid w:val="00417402"/>
    <w:rsid w:val="00417B12"/>
    <w:rsid w:val="00420805"/>
    <w:rsid w:val="00420897"/>
    <w:rsid w:val="00423802"/>
    <w:rsid w:val="00423AD5"/>
    <w:rsid w:val="004242EE"/>
    <w:rsid w:val="00424791"/>
    <w:rsid w:val="0042531B"/>
    <w:rsid w:val="00425515"/>
    <w:rsid w:val="00425B38"/>
    <w:rsid w:val="00425CE3"/>
    <w:rsid w:val="00426053"/>
    <w:rsid w:val="004276BE"/>
    <w:rsid w:val="0043187D"/>
    <w:rsid w:val="004318FC"/>
    <w:rsid w:val="004339C7"/>
    <w:rsid w:val="00433E0F"/>
    <w:rsid w:val="00434890"/>
    <w:rsid w:val="00436C1E"/>
    <w:rsid w:val="004376AA"/>
    <w:rsid w:val="00437DA5"/>
    <w:rsid w:val="00437F50"/>
    <w:rsid w:val="00442C2A"/>
    <w:rsid w:val="00443BF0"/>
    <w:rsid w:val="004445D1"/>
    <w:rsid w:val="004454AE"/>
    <w:rsid w:val="00445747"/>
    <w:rsid w:val="00445836"/>
    <w:rsid w:val="0044732B"/>
    <w:rsid w:val="004477F4"/>
    <w:rsid w:val="00450E16"/>
    <w:rsid w:val="00451122"/>
    <w:rsid w:val="004519A1"/>
    <w:rsid w:val="00451A42"/>
    <w:rsid w:val="004537C1"/>
    <w:rsid w:val="00453AE3"/>
    <w:rsid w:val="00454319"/>
    <w:rsid w:val="004544D3"/>
    <w:rsid w:val="004547C6"/>
    <w:rsid w:val="00454C6D"/>
    <w:rsid w:val="004567B2"/>
    <w:rsid w:val="00457D07"/>
    <w:rsid w:val="0046009A"/>
    <w:rsid w:val="0046166A"/>
    <w:rsid w:val="00462141"/>
    <w:rsid w:val="00462292"/>
    <w:rsid w:val="00462E97"/>
    <w:rsid w:val="004636C9"/>
    <w:rsid w:val="0046389B"/>
    <w:rsid w:val="004644A8"/>
    <w:rsid w:val="004664AB"/>
    <w:rsid w:val="00470E64"/>
    <w:rsid w:val="0047252A"/>
    <w:rsid w:val="00482516"/>
    <w:rsid w:val="00482BB8"/>
    <w:rsid w:val="004847BF"/>
    <w:rsid w:val="0048641F"/>
    <w:rsid w:val="00486591"/>
    <w:rsid w:val="00486D3C"/>
    <w:rsid w:val="00487A66"/>
    <w:rsid w:val="00487FCE"/>
    <w:rsid w:val="004909B4"/>
    <w:rsid w:val="00493A4E"/>
    <w:rsid w:val="00494103"/>
    <w:rsid w:val="00494E90"/>
    <w:rsid w:val="004953AB"/>
    <w:rsid w:val="00495410"/>
    <w:rsid w:val="00497321"/>
    <w:rsid w:val="004A076B"/>
    <w:rsid w:val="004A0921"/>
    <w:rsid w:val="004A1493"/>
    <w:rsid w:val="004A1610"/>
    <w:rsid w:val="004A242A"/>
    <w:rsid w:val="004A2CB4"/>
    <w:rsid w:val="004A3AF8"/>
    <w:rsid w:val="004A443A"/>
    <w:rsid w:val="004A4898"/>
    <w:rsid w:val="004A4BE6"/>
    <w:rsid w:val="004A66E3"/>
    <w:rsid w:val="004A6A1A"/>
    <w:rsid w:val="004B08DB"/>
    <w:rsid w:val="004B0B33"/>
    <w:rsid w:val="004B0C96"/>
    <w:rsid w:val="004B1505"/>
    <w:rsid w:val="004B304B"/>
    <w:rsid w:val="004B334E"/>
    <w:rsid w:val="004B38A3"/>
    <w:rsid w:val="004B50EA"/>
    <w:rsid w:val="004B5DE7"/>
    <w:rsid w:val="004C05BF"/>
    <w:rsid w:val="004C0FB8"/>
    <w:rsid w:val="004C16C4"/>
    <w:rsid w:val="004C2318"/>
    <w:rsid w:val="004C3FDB"/>
    <w:rsid w:val="004C4226"/>
    <w:rsid w:val="004C46F3"/>
    <w:rsid w:val="004C5C86"/>
    <w:rsid w:val="004C5D41"/>
    <w:rsid w:val="004D059D"/>
    <w:rsid w:val="004D1FCF"/>
    <w:rsid w:val="004D2722"/>
    <w:rsid w:val="004D3259"/>
    <w:rsid w:val="004D3644"/>
    <w:rsid w:val="004D3BBA"/>
    <w:rsid w:val="004D3DC3"/>
    <w:rsid w:val="004D5857"/>
    <w:rsid w:val="004D59CF"/>
    <w:rsid w:val="004D7999"/>
    <w:rsid w:val="004E0644"/>
    <w:rsid w:val="004E0785"/>
    <w:rsid w:val="004E1C0C"/>
    <w:rsid w:val="004E773D"/>
    <w:rsid w:val="004F0266"/>
    <w:rsid w:val="004F2444"/>
    <w:rsid w:val="004F2E3C"/>
    <w:rsid w:val="004F3608"/>
    <w:rsid w:val="004F4E3D"/>
    <w:rsid w:val="004F5242"/>
    <w:rsid w:val="004F5AC0"/>
    <w:rsid w:val="004F752E"/>
    <w:rsid w:val="004F7636"/>
    <w:rsid w:val="004F7C2F"/>
    <w:rsid w:val="00500B98"/>
    <w:rsid w:val="00500E26"/>
    <w:rsid w:val="005017B9"/>
    <w:rsid w:val="005021BF"/>
    <w:rsid w:val="00502589"/>
    <w:rsid w:val="005026B0"/>
    <w:rsid w:val="0050392D"/>
    <w:rsid w:val="005044C5"/>
    <w:rsid w:val="00504A88"/>
    <w:rsid w:val="00504D86"/>
    <w:rsid w:val="005062DD"/>
    <w:rsid w:val="00506D1A"/>
    <w:rsid w:val="00506FB3"/>
    <w:rsid w:val="0050786F"/>
    <w:rsid w:val="0051075B"/>
    <w:rsid w:val="00512951"/>
    <w:rsid w:val="005129BF"/>
    <w:rsid w:val="0051312D"/>
    <w:rsid w:val="005135B3"/>
    <w:rsid w:val="00513EE3"/>
    <w:rsid w:val="00514B8E"/>
    <w:rsid w:val="0051588F"/>
    <w:rsid w:val="005158ED"/>
    <w:rsid w:val="00515E6C"/>
    <w:rsid w:val="005165B7"/>
    <w:rsid w:val="00520F58"/>
    <w:rsid w:val="00521918"/>
    <w:rsid w:val="00521DCA"/>
    <w:rsid w:val="00522287"/>
    <w:rsid w:val="0052264F"/>
    <w:rsid w:val="0052412A"/>
    <w:rsid w:val="00524824"/>
    <w:rsid w:val="0052607F"/>
    <w:rsid w:val="005263FD"/>
    <w:rsid w:val="005304ED"/>
    <w:rsid w:val="0053160A"/>
    <w:rsid w:val="00531AF2"/>
    <w:rsid w:val="00532A9B"/>
    <w:rsid w:val="005339F4"/>
    <w:rsid w:val="00534E9A"/>
    <w:rsid w:val="005353AF"/>
    <w:rsid w:val="00537C77"/>
    <w:rsid w:val="00537EC9"/>
    <w:rsid w:val="0054387B"/>
    <w:rsid w:val="00544786"/>
    <w:rsid w:val="0054611C"/>
    <w:rsid w:val="00546AAE"/>
    <w:rsid w:val="00546D90"/>
    <w:rsid w:val="00547A75"/>
    <w:rsid w:val="00547FAE"/>
    <w:rsid w:val="0055109B"/>
    <w:rsid w:val="005515FD"/>
    <w:rsid w:val="00552E78"/>
    <w:rsid w:val="00554195"/>
    <w:rsid w:val="0055469D"/>
    <w:rsid w:val="00555371"/>
    <w:rsid w:val="005556DC"/>
    <w:rsid w:val="0055584A"/>
    <w:rsid w:val="00556642"/>
    <w:rsid w:val="00557640"/>
    <w:rsid w:val="00557FDD"/>
    <w:rsid w:val="0056077B"/>
    <w:rsid w:val="0056080F"/>
    <w:rsid w:val="00560A93"/>
    <w:rsid w:val="00560C7E"/>
    <w:rsid w:val="0056189D"/>
    <w:rsid w:val="005624F7"/>
    <w:rsid w:val="00562D7A"/>
    <w:rsid w:val="00563B4D"/>
    <w:rsid w:val="0056418B"/>
    <w:rsid w:val="005652F7"/>
    <w:rsid w:val="00567310"/>
    <w:rsid w:val="00567C86"/>
    <w:rsid w:val="00567C8B"/>
    <w:rsid w:val="005704B6"/>
    <w:rsid w:val="0057098E"/>
    <w:rsid w:val="00570F3E"/>
    <w:rsid w:val="00572127"/>
    <w:rsid w:val="00572267"/>
    <w:rsid w:val="00576FD8"/>
    <w:rsid w:val="00577472"/>
    <w:rsid w:val="00580D8C"/>
    <w:rsid w:val="005815BC"/>
    <w:rsid w:val="00583085"/>
    <w:rsid w:val="00583333"/>
    <w:rsid w:val="00583691"/>
    <w:rsid w:val="00583CB5"/>
    <w:rsid w:val="005853DB"/>
    <w:rsid w:val="005857FF"/>
    <w:rsid w:val="00587457"/>
    <w:rsid w:val="005875DF"/>
    <w:rsid w:val="00587610"/>
    <w:rsid w:val="00587999"/>
    <w:rsid w:val="00587BA3"/>
    <w:rsid w:val="005918BB"/>
    <w:rsid w:val="00592310"/>
    <w:rsid w:val="00592831"/>
    <w:rsid w:val="00593E8F"/>
    <w:rsid w:val="005949B3"/>
    <w:rsid w:val="00594F2A"/>
    <w:rsid w:val="0059552A"/>
    <w:rsid w:val="0059770D"/>
    <w:rsid w:val="005A0DD4"/>
    <w:rsid w:val="005A2F99"/>
    <w:rsid w:val="005A4C90"/>
    <w:rsid w:val="005A58B4"/>
    <w:rsid w:val="005A6256"/>
    <w:rsid w:val="005A6B29"/>
    <w:rsid w:val="005A6DC1"/>
    <w:rsid w:val="005A6E49"/>
    <w:rsid w:val="005A6F50"/>
    <w:rsid w:val="005A7E3D"/>
    <w:rsid w:val="005B0E3E"/>
    <w:rsid w:val="005B17C4"/>
    <w:rsid w:val="005B1C34"/>
    <w:rsid w:val="005B2C8B"/>
    <w:rsid w:val="005B4BCE"/>
    <w:rsid w:val="005B6D6E"/>
    <w:rsid w:val="005B7D98"/>
    <w:rsid w:val="005B7E76"/>
    <w:rsid w:val="005C130F"/>
    <w:rsid w:val="005C3919"/>
    <w:rsid w:val="005C4A67"/>
    <w:rsid w:val="005C62F3"/>
    <w:rsid w:val="005C6ED9"/>
    <w:rsid w:val="005D1825"/>
    <w:rsid w:val="005D1F08"/>
    <w:rsid w:val="005D6DC0"/>
    <w:rsid w:val="005D7FB9"/>
    <w:rsid w:val="005E09FD"/>
    <w:rsid w:val="005E1096"/>
    <w:rsid w:val="005E12EF"/>
    <w:rsid w:val="005E1F23"/>
    <w:rsid w:val="005E2249"/>
    <w:rsid w:val="005E240E"/>
    <w:rsid w:val="005E2A2F"/>
    <w:rsid w:val="005E2A4F"/>
    <w:rsid w:val="005E3ED9"/>
    <w:rsid w:val="005E4474"/>
    <w:rsid w:val="005E4AC3"/>
    <w:rsid w:val="005E5D6E"/>
    <w:rsid w:val="005E5E5E"/>
    <w:rsid w:val="005E6197"/>
    <w:rsid w:val="005E6DB3"/>
    <w:rsid w:val="005E76CA"/>
    <w:rsid w:val="005E791D"/>
    <w:rsid w:val="005F3382"/>
    <w:rsid w:val="005F5BB9"/>
    <w:rsid w:val="005F5F26"/>
    <w:rsid w:val="0060110A"/>
    <w:rsid w:val="006023DF"/>
    <w:rsid w:val="00603243"/>
    <w:rsid w:val="00603567"/>
    <w:rsid w:val="00603AF7"/>
    <w:rsid w:val="00603FFE"/>
    <w:rsid w:val="006053B5"/>
    <w:rsid w:val="00606F47"/>
    <w:rsid w:val="0061244D"/>
    <w:rsid w:val="00613E22"/>
    <w:rsid w:val="00614B06"/>
    <w:rsid w:val="00615420"/>
    <w:rsid w:val="006156FC"/>
    <w:rsid w:val="006167E5"/>
    <w:rsid w:val="00616B3D"/>
    <w:rsid w:val="006209FE"/>
    <w:rsid w:val="00621ADF"/>
    <w:rsid w:val="00621B47"/>
    <w:rsid w:val="00623289"/>
    <w:rsid w:val="006237EE"/>
    <w:rsid w:val="006238B3"/>
    <w:rsid w:val="00623900"/>
    <w:rsid w:val="00623E3B"/>
    <w:rsid w:val="00625144"/>
    <w:rsid w:val="006259DE"/>
    <w:rsid w:val="0062794D"/>
    <w:rsid w:val="00627DEA"/>
    <w:rsid w:val="00630138"/>
    <w:rsid w:val="006304CA"/>
    <w:rsid w:val="0063092D"/>
    <w:rsid w:val="00630987"/>
    <w:rsid w:val="00630A9E"/>
    <w:rsid w:val="00631BB5"/>
    <w:rsid w:val="0063352C"/>
    <w:rsid w:val="006353E1"/>
    <w:rsid w:val="00636C29"/>
    <w:rsid w:val="00637AAB"/>
    <w:rsid w:val="006405C1"/>
    <w:rsid w:val="006409CC"/>
    <w:rsid w:val="006411D5"/>
    <w:rsid w:val="00641227"/>
    <w:rsid w:val="0064312F"/>
    <w:rsid w:val="006431D9"/>
    <w:rsid w:val="0064326B"/>
    <w:rsid w:val="006460F8"/>
    <w:rsid w:val="00647DBF"/>
    <w:rsid w:val="00651C20"/>
    <w:rsid w:val="00651C8B"/>
    <w:rsid w:val="0065298A"/>
    <w:rsid w:val="006553AA"/>
    <w:rsid w:val="00657907"/>
    <w:rsid w:val="00657B5C"/>
    <w:rsid w:val="00657DB1"/>
    <w:rsid w:val="0066127A"/>
    <w:rsid w:val="00661C4C"/>
    <w:rsid w:val="0066217E"/>
    <w:rsid w:val="00663A9C"/>
    <w:rsid w:val="00663ED9"/>
    <w:rsid w:val="0066524A"/>
    <w:rsid w:val="00667A2A"/>
    <w:rsid w:val="00670B72"/>
    <w:rsid w:val="00671DD2"/>
    <w:rsid w:val="006742D1"/>
    <w:rsid w:val="006743AF"/>
    <w:rsid w:val="006744F2"/>
    <w:rsid w:val="00674966"/>
    <w:rsid w:val="0067588E"/>
    <w:rsid w:val="006776B1"/>
    <w:rsid w:val="00680361"/>
    <w:rsid w:val="00681537"/>
    <w:rsid w:val="00681A4C"/>
    <w:rsid w:val="00681CF3"/>
    <w:rsid w:val="0068229F"/>
    <w:rsid w:val="00684076"/>
    <w:rsid w:val="00684AE8"/>
    <w:rsid w:val="00687036"/>
    <w:rsid w:val="00690858"/>
    <w:rsid w:val="00690938"/>
    <w:rsid w:val="00691481"/>
    <w:rsid w:val="00691551"/>
    <w:rsid w:val="0069204E"/>
    <w:rsid w:val="00692847"/>
    <w:rsid w:val="00692C5D"/>
    <w:rsid w:val="00693DBA"/>
    <w:rsid w:val="00694417"/>
    <w:rsid w:val="00694C15"/>
    <w:rsid w:val="006950BA"/>
    <w:rsid w:val="006956DE"/>
    <w:rsid w:val="00695742"/>
    <w:rsid w:val="0069798F"/>
    <w:rsid w:val="006A0A1A"/>
    <w:rsid w:val="006A16FE"/>
    <w:rsid w:val="006A186E"/>
    <w:rsid w:val="006A2D54"/>
    <w:rsid w:val="006A3FCC"/>
    <w:rsid w:val="006A4D6D"/>
    <w:rsid w:val="006A4DD2"/>
    <w:rsid w:val="006A6A48"/>
    <w:rsid w:val="006A6D01"/>
    <w:rsid w:val="006A77FA"/>
    <w:rsid w:val="006A7F32"/>
    <w:rsid w:val="006B06D5"/>
    <w:rsid w:val="006B14DD"/>
    <w:rsid w:val="006B190E"/>
    <w:rsid w:val="006B2069"/>
    <w:rsid w:val="006B2BE6"/>
    <w:rsid w:val="006B4651"/>
    <w:rsid w:val="006B49DD"/>
    <w:rsid w:val="006B6990"/>
    <w:rsid w:val="006C168D"/>
    <w:rsid w:val="006C2E98"/>
    <w:rsid w:val="006C3DED"/>
    <w:rsid w:val="006C7B82"/>
    <w:rsid w:val="006D0810"/>
    <w:rsid w:val="006D28AC"/>
    <w:rsid w:val="006D4535"/>
    <w:rsid w:val="006D4550"/>
    <w:rsid w:val="006D509B"/>
    <w:rsid w:val="006D65A2"/>
    <w:rsid w:val="006D76D5"/>
    <w:rsid w:val="006D7AA5"/>
    <w:rsid w:val="006E033C"/>
    <w:rsid w:val="006E04DD"/>
    <w:rsid w:val="006E0512"/>
    <w:rsid w:val="006E0EB4"/>
    <w:rsid w:val="006E16B4"/>
    <w:rsid w:val="006E19F6"/>
    <w:rsid w:val="006E1A30"/>
    <w:rsid w:val="006E1E43"/>
    <w:rsid w:val="006E4820"/>
    <w:rsid w:val="006E5774"/>
    <w:rsid w:val="006E58D6"/>
    <w:rsid w:val="006E6E25"/>
    <w:rsid w:val="006E7C9A"/>
    <w:rsid w:val="006F0CB6"/>
    <w:rsid w:val="006F1D90"/>
    <w:rsid w:val="006F2702"/>
    <w:rsid w:val="006F3311"/>
    <w:rsid w:val="006F3715"/>
    <w:rsid w:val="006F3F6B"/>
    <w:rsid w:val="006F406F"/>
    <w:rsid w:val="006F52B6"/>
    <w:rsid w:val="006F7091"/>
    <w:rsid w:val="006F70E5"/>
    <w:rsid w:val="006F7794"/>
    <w:rsid w:val="00701027"/>
    <w:rsid w:val="0070290B"/>
    <w:rsid w:val="00702949"/>
    <w:rsid w:val="0070374F"/>
    <w:rsid w:val="00703786"/>
    <w:rsid w:val="007058DA"/>
    <w:rsid w:val="007060BB"/>
    <w:rsid w:val="00706C05"/>
    <w:rsid w:val="007076E5"/>
    <w:rsid w:val="007077E6"/>
    <w:rsid w:val="00711344"/>
    <w:rsid w:val="00711A18"/>
    <w:rsid w:val="007128D2"/>
    <w:rsid w:val="00712D2A"/>
    <w:rsid w:val="00712EA4"/>
    <w:rsid w:val="0071395A"/>
    <w:rsid w:val="00713F99"/>
    <w:rsid w:val="00714C6C"/>
    <w:rsid w:val="00714F2E"/>
    <w:rsid w:val="00714F59"/>
    <w:rsid w:val="00714FE5"/>
    <w:rsid w:val="00715D62"/>
    <w:rsid w:val="00716692"/>
    <w:rsid w:val="007202F2"/>
    <w:rsid w:val="00720980"/>
    <w:rsid w:val="0072106C"/>
    <w:rsid w:val="00722CB2"/>
    <w:rsid w:val="007235E2"/>
    <w:rsid w:val="00724E7F"/>
    <w:rsid w:val="00725E0A"/>
    <w:rsid w:val="007261AC"/>
    <w:rsid w:val="007303EC"/>
    <w:rsid w:val="00730457"/>
    <w:rsid w:val="0073049F"/>
    <w:rsid w:val="00730A09"/>
    <w:rsid w:val="00730C73"/>
    <w:rsid w:val="0073107F"/>
    <w:rsid w:val="0073258A"/>
    <w:rsid w:val="00732DDC"/>
    <w:rsid w:val="00733CF6"/>
    <w:rsid w:val="00735E36"/>
    <w:rsid w:val="00736000"/>
    <w:rsid w:val="00736529"/>
    <w:rsid w:val="00736DCB"/>
    <w:rsid w:val="007403D8"/>
    <w:rsid w:val="00740761"/>
    <w:rsid w:val="0074134D"/>
    <w:rsid w:val="007426F4"/>
    <w:rsid w:val="00743FEB"/>
    <w:rsid w:val="00744094"/>
    <w:rsid w:val="00744C57"/>
    <w:rsid w:val="00747E6D"/>
    <w:rsid w:val="007506B7"/>
    <w:rsid w:val="00751B88"/>
    <w:rsid w:val="00752A34"/>
    <w:rsid w:val="00752AFF"/>
    <w:rsid w:val="0075484C"/>
    <w:rsid w:val="00754A08"/>
    <w:rsid w:val="00754F96"/>
    <w:rsid w:val="007552CC"/>
    <w:rsid w:val="00756708"/>
    <w:rsid w:val="00756D54"/>
    <w:rsid w:val="00757819"/>
    <w:rsid w:val="00760DF1"/>
    <w:rsid w:val="00762591"/>
    <w:rsid w:val="00764F75"/>
    <w:rsid w:val="00766824"/>
    <w:rsid w:val="00766DF7"/>
    <w:rsid w:val="00767E27"/>
    <w:rsid w:val="007701B6"/>
    <w:rsid w:val="007704E9"/>
    <w:rsid w:val="00771061"/>
    <w:rsid w:val="0077219A"/>
    <w:rsid w:val="007723C4"/>
    <w:rsid w:val="0078056C"/>
    <w:rsid w:val="00781F1B"/>
    <w:rsid w:val="00783C8F"/>
    <w:rsid w:val="0078401F"/>
    <w:rsid w:val="00785CE0"/>
    <w:rsid w:val="00787E03"/>
    <w:rsid w:val="007915A3"/>
    <w:rsid w:val="00791925"/>
    <w:rsid w:val="00792B45"/>
    <w:rsid w:val="00792C4E"/>
    <w:rsid w:val="00795BD9"/>
    <w:rsid w:val="007962E2"/>
    <w:rsid w:val="00796B10"/>
    <w:rsid w:val="00796B45"/>
    <w:rsid w:val="007A0B86"/>
    <w:rsid w:val="007A1723"/>
    <w:rsid w:val="007A2974"/>
    <w:rsid w:val="007A2A9E"/>
    <w:rsid w:val="007A3E59"/>
    <w:rsid w:val="007A4FD9"/>
    <w:rsid w:val="007A5B60"/>
    <w:rsid w:val="007A5E73"/>
    <w:rsid w:val="007A7241"/>
    <w:rsid w:val="007B0487"/>
    <w:rsid w:val="007B20FF"/>
    <w:rsid w:val="007B3E94"/>
    <w:rsid w:val="007B60B6"/>
    <w:rsid w:val="007B658B"/>
    <w:rsid w:val="007C0B2E"/>
    <w:rsid w:val="007C0EBA"/>
    <w:rsid w:val="007C2B59"/>
    <w:rsid w:val="007C2C0C"/>
    <w:rsid w:val="007C4025"/>
    <w:rsid w:val="007C43A8"/>
    <w:rsid w:val="007C690E"/>
    <w:rsid w:val="007C6B90"/>
    <w:rsid w:val="007C72EB"/>
    <w:rsid w:val="007D0ADA"/>
    <w:rsid w:val="007D2189"/>
    <w:rsid w:val="007D30AE"/>
    <w:rsid w:val="007D30CA"/>
    <w:rsid w:val="007D4A7B"/>
    <w:rsid w:val="007D4F4E"/>
    <w:rsid w:val="007D5939"/>
    <w:rsid w:val="007D6CA3"/>
    <w:rsid w:val="007D6FE4"/>
    <w:rsid w:val="007D713B"/>
    <w:rsid w:val="007D74E9"/>
    <w:rsid w:val="007E0C17"/>
    <w:rsid w:val="007E1972"/>
    <w:rsid w:val="007E24B4"/>
    <w:rsid w:val="007E3149"/>
    <w:rsid w:val="007E3DDE"/>
    <w:rsid w:val="007E491C"/>
    <w:rsid w:val="007E566D"/>
    <w:rsid w:val="007E5A32"/>
    <w:rsid w:val="007E6A66"/>
    <w:rsid w:val="007E6B96"/>
    <w:rsid w:val="007E74B9"/>
    <w:rsid w:val="007F02AD"/>
    <w:rsid w:val="007F209D"/>
    <w:rsid w:val="007F52C9"/>
    <w:rsid w:val="007F5F22"/>
    <w:rsid w:val="007F664A"/>
    <w:rsid w:val="007F68CE"/>
    <w:rsid w:val="007F76AC"/>
    <w:rsid w:val="007F78B2"/>
    <w:rsid w:val="007F7A89"/>
    <w:rsid w:val="007F7EEF"/>
    <w:rsid w:val="008001B6"/>
    <w:rsid w:val="008003F6"/>
    <w:rsid w:val="00801C29"/>
    <w:rsid w:val="00801D35"/>
    <w:rsid w:val="008026BB"/>
    <w:rsid w:val="008035CE"/>
    <w:rsid w:val="00803A71"/>
    <w:rsid w:val="00804EB0"/>
    <w:rsid w:val="00806EEB"/>
    <w:rsid w:val="008073B7"/>
    <w:rsid w:val="00807A75"/>
    <w:rsid w:val="00811E07"/>
    <w:rsid w:val="00812AAF"/>
    <w:rsid w:val="00813360"/>
    <w:rsid w:val="00814283"/>
    <w:rsid w:val="00815C1C"/>
    <w:rsid w:val="00816000"/>
    <w:rsid w:val="00816108"/>
    <w:rsid w:val="008169A6"/>
    <w:rsid w:val="0082039E"/>
    <w:rsid w:val="008204C8"/>
    <w:rsid w:val="00820CB7"/>
    <w:rsid w:val="00821569"/>
    <w:rsid w:val="008225A8"/>
    <w:rsid w:val="0082595E"/>
    <w:rsid w:val="00825983"/>
    <w:rsid w:val="00831B78"/>
    <w:rsid w:val="0083308B"/>
    <w:rsid w:val="0083323B"/>
    <w:rsid w:val="00833509"/>
    <w:rsid w:val="00833963"/>
    <w:rsid w:val="0083459E"/>
    <w:rsid w:val="00836616"/>
    <w:rsid w:val="0083710C"/>
    <w:rsid w:val="0083717E"/>
    <w:rsid w:val="00837635"/>
    <w:rsid w:val="008403E3"/>
    <w:rsid w:val="008417F2"/>
    <w:rsid w:val="00842F29"/>
    <w:rsid w:val="00843C26"/>
    <w:rsid w:val="00844C78"/>
    <w:rsid w:val="008470D1"/>
    <w:rsid w:val="00847498"/>
    <w:rsid w:val="00851EC1"/>
    <w:rsid w:val="00851F2B"/>
    <w:rsid w:val="00853F54"/>
    <w:rsid w:val="00854B9C"/>
    <w:rsid w:val="00854E66"/>
    <w:rsid w:val="00855697"/>
    <w:rsid w:val="008558CF"/>
    <w:rsid w:val="00856334"/>
    <w:rsid w:val="00856CE7"/>
    <w:rsid w:val="00860246"/>
    <w:rsid w:val="00860A4D"/>
    <w:rsid w:val="0086117B"/>
    <w:rsid w:val="0086187F"/>
    <w:rsid w:val="00862C48"/>
    <w:rsid w:val="00864734"/>
    <w:rsid w:val="00865B2F"/>
    <w:rsid w:val="008668EF"/>
    <w:rsid w:val="00870582"/>
    <w:rsid w:val="00871CA9"/>
    <w:rsid w:val="00873E16"/>
    <w:rsid w:val="008752DA"/>
    <w:rsid w:val="00875AB4"/>
    <w:rsid w:val="00875CFB"/>
    <w:rsid w:val="008760CD"/>
    <w:rsid w:val="008773DC"/>
    <w:rsid w:val="00877BCA"/>
    <w:rsid w:val="008814B5"/>
    <w:rsid w:val="0088172A"/>
    <w:rsid w:val="00881E6F"/>
    <w:rsid w:val="0088269A"/>
    <w:rsid w:val="00882A0E"/>
    <w:rsid w:val="00882BDD"/>
    <w:rsid w:val="008855A0"/>
    <w:rsid w:val="00886CA1"/>
    <w:rsid w:val="00887989"/>
    <w:rsid w:val="0089007E"/>
    <w:rsid w:val="0089063A"/>
    <w:rsid w:val="00890707"/>
    <w:rsid w:val="00892D40"/>
    <w:rsid w:val="0089310B"/>
    <w:rsid w:val="008940E7"/>
    <w:rsid w:val="008946C3"/>
    <w:rsid w:val="00894C8A"/>
    <w:rsid w:val="008976AC"/>
    <w:rsid w:val="00897FC0"/>
    <w:rsid w:val="008A0376"/>
    <w:rsid w:val="008A0971"/>
    <w:rsid w:val="008A0D04"/>
    <w:rsid w:val="008A145C"/>
    <w:rsid w:val="008A2696"/>
    <w:rsid w:val="008A26EB"/>
    <w:rsid w:val="008A2AFF"/>
    <w:rsid w:val="008A2B30"/>
    <w:rsid w:val="008A2C05"/>
    <w:rsid w:val="008A2EC7"/>
    <w:rsid w:val="008A32A9"/>
    <w:rsid w:val="008A3716"/>
    <w:rsid w:val="008A4ABE"/>
    <w:rsid w:val="008A6260"/>
    <w:rsid w:val="008A78AD"/>
    <w:rsid w:val="008A79C5"/>
    <w:rsid w:val="008B0285"/>
    <w:rsid w:val="008B0D87"/>
    <w:rsid w:val="008B1B7B"/>
    <w:rsid w:val="008B2D30"/>
    <w:rsid w:val="008B3216"/>
    <w:rsid w:val="008B39CA"/>
    <w:rsid w:val="008B5D59"/>
    <w:rsid w:val="008B617F"/>
    <w:rsid w:val="008C0243"/>
    <w:rsid w:val="008C0842"/>
    <w:rsid w:val="008C22C4"/>
    <w:rsid w:val="008C3219"/>
    <w:rsid w:val="008C3995"/>
    <w:rsid w:val="008C4CFB"/>
    <w:rsid w:val="008C5648"/>
    <w:rsid w:val="008C585B"/>
    <w:rsid w:val="008D05F2"/>
    <w:rsid w:val="008D1F31"/>
    <w:rsid w:val="008D2AA9"/>
    <w:rsid w:val="008D72A9"/>
    <w:rsid w:val="008D7616"/>
    <w:rsid w:val="008D7652"/>
    <w:rsid w:val="008E0B5E"/>
    <w:rsid w:val="008E3391"/>
    <w:rsid w:val="008E33E7"/>
    <w:rsid w:val="008E46CC"/>
    <w:rsid w:val="008E4CE7"/>
    <w:rsid w:val="008E6142"/>
    <w:rsid w:val="008E6EFB"/>
    <w:rsid w:val="008E75C0"/>
    <w:rsid w:val="008F0CD6"/>
    <w:rsid w:val="008F0E69"/>
    <w:rsid w:val="008F0F15"/>
    <w:rsid w:val="008F1416"/>
    <w:rsid w:val="008F1466"/>
    <w:rsid w:val="008F245A"/>
    <w:rsid w:val="008F24FB"/>
    <w:rsid w:val="008F2BCF"/>
    <w:rsid w:val="008F40CC"/>
    <w:rsid w:val="008F4486"/>
    <w:rsid w:val="008F45D6"/>
    <w:rsid w:val="008F7879"/>
    <w:rsid w:val="0090051E"/>
    <w:rsid w:val="00900BA6"/>
    <w:rsid w:val="009022FA"/>
    <w:rsid w:val="009023E8"/>
    <w:rsid w:val="009025FC"/>
    <w:rsid w:val="0090371E"/>
    <w:rsid w:val="00903B36"/>
    <w:rsid w:val="00903D79"/>
    <w:rsid w:val="00904A0D"/>
    <w:rsid w:val="00905C43"/>
    <w:rsid w:val="0090663E"/>
    <w:rsid w:val="00906A53"/>
    <w:rsid w:val="00906A69"/>
    <w:rsid w:val="00906B78"/>
    <w:rsid w:val="00907327"/>
    <w:rsid w:val="00907469"/>
    <w:rsid w:val="00910F75"/>
    <w:rsid w:val="009115D6"/>
    <w:rsid w:val="00912E8B"/>
    <w:rsid w:val="00914617"/>
    <w:rsid w:val="009161C4"/>
    <w:rsid w:val="00917639"/>
    <w:rsid w:val="00922342"/>
    <w:rsid w:val="00923160"/>
    <w:rsid w:val="00923C91"/>
    <w:rsid w:val="0092549B"/>
    <w:rsid w:val="0092632C"/>
    <w:rsid w:val="00927E19"/>
    <w:rsid w:val="00927EC6"/>
    <w:rsid w:val="00932DF7"/>
    <w:rsid w:val="00934411"/>
    <w:rsid w:val="00934C55"/>
    <w:rsid w:val="00935294"/>
    <w:rsid w:val="00935732"/>
    <w:rsid w:val="0093677C"/>
    <w:rsid w:val="00936ADB"/>
    <w:rsid w:val="00936E0A"/>
    <w:rsid w:val="00937A47"/>
    <w:rsid w:val="0094064C"/>
    <w:rsid w:val="00941050"/>
    <w:rsid w:val="00941136"/>
    <w:rsid w:val="0094174F"/>
    <w:rsid w:val="0094191C"/>
    <w:rsid w:val="00942670"/>
    <w:rsid w:val="009445BD"/>
    <w:rsid w:val="0094536E"/>
    <w:rsid w:val="00946DD0"/>
    <w:rsid w:val="009479CF"/>
    <w:rsid w:val="00950727"/>
    <w:rsid w:val="00950B7C"/>
    <w:rsid w:val="009512CB"/>
    <w:rsid w:val="00951AF4"/>
    <w:rsid w:val="00952B56"/>
    <w:rsid w:val="00953F6A"/>
    <w:rsid w:val="00954884"/>
    <w:rsid w:val="00955335"/>
    <w:rsid w:val="009579B9"/>
    <w:rsid w:val="0096051C"/>
    <w:rsid w:val="009613B4"/>
    <w:rsid w:val="00962FBE"/>
    <w:rsid w:val="009635B6"/>
    <w:rsid w:val="00963E9B"/>
    <w:rsid w:val="00970248"/>
    <w:rsid w:val="0097097E"/>
    <w:rsid w:val="00970BDC"/>
    <w:rsid w:val="009722F5"/>
    <w:rsid w:val="00973554"/>
    <w:rsid w:val="009743E1"/>
    <w:rsid w:val="0097656C"/>
    <w:rsid w:val="00976B3B"/>
    <w:rsid w:val="00976C60"/>
    <w:rsid w:val="009808F6"/>
    <w:rsid w:val="00985686"/>
    <w:rsid w:val="009856B5"/>
    <w:rsid w:val="00985DCB"/>
    <w:rsid w:val="00985F85"/>
    <w:rsid w:val="009867BD"/>
    <w:rsid w:val="00986D97"/>
    <w:rsid w:val="00987CED"/>
    <w:rsid w:val="00990B93"/>
    <w:rsid w:val="00990FF8"/>
    <w:rsid w:val="00992B7E"/>
    <w:rsid w:val="009931BE"/>
    <w:rsid w:val="009937F9"/>
    <w:rsid w:val="0099415E"/>
    <w:rsid w:val="0099421C"/>
    <w:rsid w:val="0099426D"/>
    <w:rsid w:val="009969BE"/>
    <w:rsid w:val="00997385"/>
    <w:rsid w:val="00997F7C"/>
    <w:rsid w:val="009A0720"/>
    <w:rsid w:val="009A0B54"/>
    <w:rsid w:val="009A3385"/>
    <w:rsid w:val="009A4A3D"/>
    <w:rsid w:val="009A5AC2"/>
    <w:rsid w:val="009A5CB7"/>
    <w:rsid w:val="009A62AD"/>
    <w:rsid w:val="009B74F3"/>
    <w:rsid w:val="009C0416"/>
    <w:rsid w:val="009C0DF8"/>
    <w:rsid w:val="009C27C0"/>
    <w:rsid w:val="009C3E61"/>
    <w:rsid w:val="009C45CC"/>
    <w:rsid w:val="009C54BD"/>
    <w:rsid w:val="009C5BE2"/>
    <w:rsid w:val="009C5FFF"/>
    <w:rsid w:val="009C772C"/>
    <w:rsid w:val="009C7B02"/>
    <w:rsid w:val="009D0EE6"/>
    <w:rsid w:val="009D299C"/>
    <w:rsid w:val="009D29E4"/>
    <w:rsid w:val="009D4DEB"/>
    <w:rsid w:val="009D5471"/>
    <w:rsid w:val="009D6C7D"/>
    <w:rsid w:val="009D79F3"/>
    <w:rsid w:val="009D7B54"/>
    <w:rsid w:val="009E0F39"/>
    <w:rsid w:val="009E3D49"/>
    <w:rsid w:val="009E4303"/>
    <w:rsid w:val="009E50F7"/>
    <w:rsid w:val="009E544A"/>
    <w:rsid w:val="009E564B"/>
    <w:rsid w:val="009E5EF1"/>
    <w:rsid w:val="009E5FD5"/>
    <w:rsid w:val="009E6238"/>
    <w:rsid w:val="009E723B"/>
    <w:rsid w:val="009E7275"/>
    <w:rsid w:val="009F0393"/>
    <w:rsid w:val="009F0B29"/>
    <w:rsid w:val="009F28BA"/>
    <w:rsid w:val="009F2A31"/>
    <w:rsid w:val="009F2EC1"/>
    <w:rsid w:val="009F39D6"/>
    <w:rsid w:val="009F444D"/>
    <w:rsid w:val="009F4618"/>
    <w:rsid w:val="009F4A5D"/>
    <w:rsid w:val="009F4DDC"/>
    <w:rsid w:val="009F6149"/>
    <w:rsid w:val="009F64D7"/>
    <w:rsid w:val="009F6847"/>
    <w:rsid w:val="009F6A4B"/>
    <w:rsid w:val="009F6E07"/>
    <w:rsid w:val="009F7174"/>
    <w:rsid w:val="00A002C8"/>
    <w:rsid w:val="00A01E1F"/>
    <w:rsid w:val="00A02478"/>
    <w:rsid w:val="00A02771"/>
    <w:rsid w:val="00A02797"/>
    <w:rsid w:val="00A02D10"/>
    <w:rsid w:val="00A0553E"/>
    <w:rsid w:val="00A055E7"/>
    <w:rsid w:val="00A10388"/>
    <w:rsid w:val="00A115DB"/>
    <w:rsid w:val="00A12AE3"/>
    <w:rsid w:val="00A143C0"/>
    <w:rsid w:val="00A15977"/>
    <w:rsid w:val="00A174C0"/>
    <w:rsid w:val="00A21488"/>
    <w:rsid w:val="00A220AD"/>
    <w:rsid w:val="00A2268B"/>
    <w:rsid w:val="00A228AA"/>
    <w:rsid w:val="00A2291F"/>
    <w:rsid w:val="00A23858"/>
    <w:rsid w:val="00A25467"/>
    <w:rsid w:val="00A25B7A"/>
    <w:rsid w:val="00A26A1A"/>
    <w:rsid w:val="00A26A4A"/>
    <w:rsid w:val="00A26DBE"/>
    <w:rsid w:val="00A27331"/>
    <w:rsid w:val="00A30B9C"/>
    <w:rsid w:val="00A316D3"/>
    <w:rsid w:val="00A3194D"/>
    <w:rsid w:val="00A34602"/>
    <w:rsid w:val="00A346BB"/>
    <w:rsid w:val="00A3517E"/>
    <w:rsid w:val="00A35EE4"/>
    <w:rsid w:val="00A366FE"/>
    <w:rsid w:val="00A37561"/>
    <w:rsid w:val="00A407D0"/>
    <w:rsid w:val="00A42CC5"/>
    <w:rsid w:val="00A440E6"/>
    <w:rsid w:val="00A44210"/>
    <w:rsid w:val="00A442F5"/>
    <w:rsid w:val="00A4479A"/>
    <w:rsid w:val="00A449A5"/>
    <w:rsid w:val="00A45C52"/>
    <w:rsid w:val="00A46008"/>
    <w:rsid w:val="00A4621E"/>
    <w:rsid w:val="00A464E6"/>
    <w:rsid w:val="00A46818"/>
    <w:rsid w:val="00A47555"/>
    <w:rsid w:val="00A47781"/>
    <w:rsid w:val="00A47E2A"/>
    <w:rsid w:val="00A50665"/>
    <w:rsid w:val="00A50C3A"/>
    <w:rsid w:val="00A50D35"/>
    <w:rsid w:val="00A529B2"/>
    <w:rsid w:val="00A52EC4"/>
    <w:rsid w:val="00A53F7E"/>
    <w:rsid w:val="00A53F81"/>
    <w:rsid w:val="00A54A12"/>
    <w:rsid w:val="00A55EF4"/>
    <w:rsid w:val="00A57FC6"/>
    <w:rsid w:val="00A61741"/>
    <w:rsid w:val="00A61D30"/>
    <w:rsid w:val="00A631D5"/>
    <w:rsid w:val="00A63A4A"/>
    <w:rsid w:val="00A63B84"/>
    <w:rsid w:val="00A63EC1"/>
    <w:rsid w:val="00A64769"/>
    <w:rsid w:val="00A6494C"/>
    <w:rsid w:val="00A6500C"/>
    <w:rsid w:val="00A65BA8"/>
    <w:rsid w:val="00A66FBB"/>
    <w:rsid w:val="00A67423"/>
    <w:rsid w:val="00A67795"/>
    <w:rsid w:val="00A67ACC"/>
    <w:rsid w:val="00A67C80"/>
    <w:rsid w:val="00A67FBB"/>
    <w:rsid w:val="00A7292F"/>
    <w:rsid w:val="00A742DB"/>
    <w:rsid w:val="00A74542"/>
    <w:rsid w:val="00A750E4"/>
    <w:rsid w:val="00A76F5C"/>
    <w:rsid w:val="00A80AAE"/>
    <w:rsid w:val="00A80F68"/>
    <w:rsid w:val="00A81670"/>
    <w:rsid w:val="00A829D2"/>
    <w:rsid w:val="00A8373C"/>
    <w:rsid w:val="00A847A6"/>
    <w:rsid w:val="00A84F01"/>
    <w:rsid w:val="00A85159"/>
    <w:rsid w:val="00A8529B"/>
    <w:rsid w:val="00A868C5"/>
    <w:rsid w:val="00A9021E"/>
    <w:rsid w:val="00A90CBA"/>
    <w:rsid w:val="00A91428"/>
    <w:rsid w:val="00A924F5"/>
    <w:rsid w:val="00A92E49"/>
    <w:rsid w:val="00A9318B"/>
    <w:rsid w:val="00A935DC"/>
    <w:rsid w:val="00A93FE3"/>
    <w:rsid w:val="00A94CC6"/>
    <w:rsid w:val="00A9562E"/>
    <w:rsid w:val="00A97525"/>
    <w:rsid w:val="00AA0914"/>
    <w:rsid w:val="00AA3137"/>
    <w:rsid w:val="00AA385F"/>
    <w:rsid w:val="00AA3DAF"/>
    <w:rsid w:val="00AA415D"/>
    <w:rsid w:val="00AA4778"/>
    <w:rsid w:val="00AA5267"/>
    <w:rsid w:val="00AA56CE"/>
    <w:rsid w:val="00AA636B"/>
    <w:rsid w:val="00AA67B1"/>
    <w:rsid w:val="00AA6C80"/>
    <w:rsid w:val="00AA78EB"/>
    <w:rsid w:val="00AB4DBD"/>
    <w:rsid w:val="00AB5A9E"/>
    <w:rsid w:val="00AC10A2"/>
    <w:rsid w:val="00AC263C"/>
    <w:rsid w:val="00AC30C2"/>
    <w:rsid w:val="00AC34D4"/>
    <w:rsid w:val="00AC4066"/>
    <w:rsid w:val="00AC566C"/>
    <w:rsid w:val="00AC7C23"/>
    <w:rsid w:val="00AD0ACE"/>
    <w:rsid w:val="00AD12CE"/>
    <w:rsid w:val="00AD288E"/>
    <w:rsid w:val="00AD2902"/>
    <w:rsid w:val="00AD2D9F"/>
    <w:rsid w:val="00AD344A"/>
    <w:rsid w:val="00AD51D5"/>
    <w:rsid w:val="00AD555F"/>
    <w:rsid w:val="00AD5F05"/>
    <w:rsid w:val="00AD6806"/>
    <w:rsid w:val="00AE02AE"/>
    <w:rsid w:val="00AE276F"/>
    <w:rsid w:val="00AE2A26"/>
    <w:rsid w:val="00AE3100"/>
    <w:rsid w:val="00AE3987"/>
    <w:rsid w:val="00AE3DD1"/>
    <w:rsid w:val="00AE4C14"/>
    <w:rsid w:val="00AF1312"/>
    <w:rsid w:val="00AF1715"/>
    <w:rsid w:val="00AF17C8"/>
    <w:rsid w:val="00AF2ADB"/>
    <w:rsid w:val="00AF2B62"/>
    <w:rsid w:val="00AF2EBF"/>
    <w:rsid w:val="00AF5B21"/>
    <w:rsid w:val="00AF627E"/>
    <w:rsid w:val="00AF7C9E"/>
    <w:rsid w:val="00B006A3"/>
    <w:rsid w:val="00B010DE"/>
    <w:rsid w:val="00B02CB6"/>
    <w:rsid w:val="00B03CBB"/>
    <w:rsid w:val="00B04FA5"/>
    <w:rsid w:val="00B04FFB"/>
    <w:rsid w:val="00B06852"/>
    <w:rsid w:val="00B07A54"/>
    <w:rsid w:val="00B1090C"/>
    <w:rsid w:val="00B12766"/>
    <w:rsid w:val="00B12DBF"/>
    <w:rsid w:val="00B14042"/>
    <w:rsid w:val="00B141A1"/>
    <w:rsid w:val="00B14ED6"/>
    <w:rsid w:val="00B154F1"/>
    <w:rsid w:val="00B161E3"/>
    <w:rsid w:val="00B16684"/>
    <w:rsid w:val="00B16938"/>
    <w:rsid w:val="00B171E8"/>
    <w:rsid w:val="00B17BFF"/>
    <w:rsid w:val="00B17CFF"/>
    <w:rsid w:val="00B21C51"/>
    <w:rsid w:val="00B21CA5"/>
    <w:rsid w:val="00B225CF"/>
    <w:rsid w:val="00B2297C"/>
    <w:rsid w:val="00B22BD2"/>
    <w:rsid w:val="00B235CB"/>
    <w:rsid w:val="00B24695"/>
    <w:rsid w:val="00B24DEB"/>
    <w:rsid w:val="00B265D5"/>
    <w:rsid w:val="00B27045"/>
    <w:rsid w:val="00B277D7"/>
    <w:rsid w:val="00B3015A"/>
    <w:rsid w:val="00B3083A"/>
    <w:rsid w:val="00B32104"/>
    <w:rsid w:val="00B32F8B"/>
    <w:rsid w:val="00B36212"/>
    <w:rsid w:val="00B36A92"/>
    <w:rsid w:val="00B36C41"/>
    <w:rsid w:val="00B37C85"/>
    <w:rsid w:val="00B40190"/>
    <w:rsid w:val="00B4025A"/>
    <w:rsid w:val="00B4090B"/>
    <w:rsid w:val="00B40FC2"/>
    <w:rsid w:val="00B410A3"/>
    <w:rsid w:val="00B41C18"/>
    <w:rsid w:val="00B444AC"/>
    <w:rsid w:val="00B44A49"/>
    <w:rsid w:val="00B44B0B"/>
    <w:rsid w:val="00B47195"/>
    <w:rsid w:val="00B477C1"/>
    <w:rsid w:val="00B47B13"/>
    <w:rsid w:val="00B50D27"/>
    <w:rsid w:val="00B51097"/>
    <w:rsid w:val="00B51298"/>
    <w:rsid w:val="00B51977"/>
    <w:rsid w:val="00B5294E"/>
    <w:rsid w:val="00B54274"/>
    <w:rsid w:val="00B54755"/>
    <w:rsid w:val="00B55119"/>
    <w:rsid w:val="00B55212"/>
    <w:rsid w:val="00B55E22"/>
    <w:rsid w:val="00B56260"/>
    <w:rsid w:val="00B6003C"/>
    <w:rsid w:val="00B60850"/>
    <w:rsid w:val="00B627C6"/>
    <w:rsid w:val="00B63EAB"/>
    <w:rsid w:val="00B6486E"/>
    <w:rsid w:val="00B65250"/>
    <w:rsid w:val="00B65AAC"/>
    <w:rsid w:val="00B65CE1"/>
    <w:rsid w:val="00B66989"/>
    <w:rsid w:val="00B66BBB"/>
    <w:rsid w:val="00B71577"/>
    <w:rsid w:val="00B71B0E"/>
    <w:rsid w:val="00B7207B"/>
    <w:rsid w:val="00B725C7"/>
    <w:rsid w:val="00B742BA"/>
    <w:rsid w:val="00B743A2"/>
    <w:rsid w:val="00B74D31"/>
    <w:rsid w:val="00B75627"/>
    <w:rsid w:val="00B80327"/>
    <w:rsid w:val="00B80A9A"/>
    <w:rsid w:val="00B82FF7"/>
    <w:rsid w:val="00B832B8"/>
    <w:rsid w:val="00B83BF0"/>
    <w:rsid w:val="00B85B02"/>
    <w:rsid w:val="00B87ACE"/>
    <w:rsid w:val="00B901B1"/>
    <w:rsid w:val="00B90CCD"/>
    <w:rsid w:val="00B93003"/>
    <w:rsid w:val="00B9388C"/>
    <w:rsid w:val="00B97377"/>
    <w:rsid w:val="00BA016A"/>
    <w:rsid w:val="00BA08ED"/>
    <w:rsid w:val="00BA09D7"/>
    <w:rsid w:val="00BA1ACF"/>
    <w:rsid w:val="00BA2913"/>
    <w:rsid w:val="00BA3CCD"/>
    <w:rsid w:val="00BA5444"/>
    <w:rsid w:val="00BB0CDA"/>
    <w:rsid w:val="00BB0D93"/>
    <w:rsid w:val="00BB12DF"/>
    <w:rsid w:val="00BB1700"/>
    <w:rsid w:val="00BB1EB5"/>
    <w:rsid w:val="00BB1F2B"/>
    <w:rsid w:val="00BB2016"/>
    <w:rsid w:val="00BB4B65"/>
    <w:rsid w:val="00BB5080"/>
    <w:rsid w:val="00BB5424"/>
    <w:rsid w:val="00BB6475"/>
    <w:rsid w:val="00BB6885"/>
    <w:rsid w:val="00BB6AEA"/>
    <w:rsid w:val="00BB7431"/>
    <w:rsid w:val="00BB75E1"/>
    <w:rsid w:val="00BC02DD"/>
    <w:rsid w:val="00BC0589"/>
    <w:rsid w:val="00BC05D2"/>
    <w:rsid w:val="00BC0F1A"/>
    <w:rsid w:val="00BC2083"/>
    <w:rsid w:val="00BC24A0"/>
    <w:rsid w:val="00BC2598"/>
    <w:rsid w:val="00BC4AE3"/>
    <w:rsid w:val="00BC50DD"/>
    <w:rsid w:val="00BC524B"/>
    <w:rsid w:val="00BC5376"/>
    <w:rsid w:val="00BC6D18"/>
    <w:rsid w:val="00BC7140"/>
    <w:rsid w:val="00BC75CB"/>
    <w:rsid w:val="00BD09F2"/>
    <w:rsid w:val="00BD0FCF"/>
    <w:rsid w:val="00BD1B45"/>
    <w:rsid w:val="00BD2197"/>
    <w:rsid w:val="00BD3C8E"/>
    <w:rsid w:val="00BD3DE6"/>
    <w:rsid w:val="00BD6A44"/>
    <w:rsid w:val="00BD745E"/>
    <w:rsid w:val="00BD7542"/>
    <w:rsid w:val="00BD7850"/>
    <w:rsid w:val="00BE3D15"/>
    <w:rsid w:val="00BE3D6F"/>
    <w:rsid w:val="00BE44F5"/>
    <w:rsid w:val="00BE4A0A"/>
    <w:rsid w:val="00BE5113"/>
    <w:rsid w:val="00BE7281"/>
    <w:rsid w:val="00BF2038"/>
    <w:rsid w:val="00BF218B"/>
    <w:rsid w:val="00BF32A9"/>
    <w:rsid w:val="00BF360C"/>
    <w:rsid w:val="00BF4596"/>
    <w:rsid w:val="00BF6BD1"/>
    <w:rsid w:val="00BF7638"/>
    <w:rsid w:val="00C0147F"/>
    <w:rsid w:val="00C02BAE"/>
    <w:rsid w:val="00C07CD1"/>
    <w:rsid w:val="00C07E81"/>
    <w:rsid w:val="00C10244"/>
    <w:rsid w:val="00C12EA7"/>
    <w:rsid w:val="00C151B4"/>
    <w:rsid w:val="00C166AE"/>
    <w:rsid w:val="00C16CCE"/>
    <w:rsid w:val="00C21FAB"/>
    <w:rsid w:val="00C22142"/>
    <w:rsid w:val="00C23257"/>
    <w:rsid w:val="00C23A06"/>
    <w:rsid w:val="00C2406F"/>
    <w:rsid w:val="00C24513"/>
    <w:rsid w:val="00C24BF9"/>
    <w:rsid w:val="00C251D9"/>
    <w:rsid w:val="00C25374"/>
    <w:rsid w:val="00C26194"/>
    <w:rsid w:val="00C26B24"/>
    <w:rsid w:val="00C27887"/>
    <w:rsid w:val="00C27FD5"/>
    <w:rsid w:val="00C30EFF"/>
    <w:rsid w:val="00C31684"/>
    <w:rsid w:val="00C31EE4"/>
    <w:rsid w:val="00C32FBD"/>
    <w:rsid w:val="00C33F1F"/>
    <w:rsid w:val="00C34A05"/>
    <w:rsid w:val="00C351F0"/>
    <w:rsid w:val="00C35605"/>
    <w:rsid w:val="00C35707"/>
    <w:rsid w:val="00C36A68"/>
    <w:rsid w:val="00C4042A"/>
    <w:rsid w:val="00C409A9"/>
    <w:rsid w:val="00C40B67"/>
    <w:rsid w:val="00C41049"/>
    <w:rsid w:val="00C43845"/>
    <w:rsid w:val="00C43A19"/>
    <w:rsid w:val="00C43C23"/>
    <w:rsid w:val="00C440E5"/>
    <w:rsid w:val="00C44921"/>
    <w:rsid w:val="00C4586D"/>
    <w:rsid w:val="00C459F4"/>
    <w:rsid w:val="00C463E1"/>
    <w:rsid w:val="00C46A84"/>
    <w:rsid w:val="00C473DC"/>
    <w:rsid w:val="00C47AD4"/>
    <w:rsid w:val="00C50351"/>
    <w:rsid w:val="00C507B3"/>
    <w:rsid w:val="00C508D2"/>
    <w:rsid w:val="00C5104C"/>
    <w:rsid w:val="00C51793"/>
    <w:rsid w:val="00C519A7"/>
    <w:rsid w:val="00C519CC"/>
    <w:rsid w:val="00C528AE"/>
    <w:rsid w:val="00C554B5"/>
    <w:rsid w:val="00C55EF4"/>
    <w:rsid w:val="00C57421"/>
    <w:rsid w:val="00C576D9"/>
    <w:rsid w:val="00C57BFA"/>
    <w:rsid w:val="00C608F5"/>
    <w:rsid w:val="00C60929"/>
    <w:rsid w:val="00C60CF3"/>
    <w:rsid w:val="00C61C49"/>
    <w:rsid w:val="00C624B2"/>
    <w:rsid w:val="00C62A4F"/>
    <w:rsid w:val="00C6333D"/>
    <w:rsid w:val="00C6458E"/>
    <w:rsid w:val="00C66026"/>
    <w:rsid w:val="00C66F27"/>
    <w:rsid w:val="00C70130"/>
    <w:rsid w:val="00C74597"/>
    <w:rsid w:val="00C77D36"/>
    <w:rsid w:val="00C8038C"/>
    <w:rsid w:val="00C80FA0"/>
    <w:rsid w:val="00C814DC"/>
    <w:rsid w:val="00C82EF8"/>
    <w:rsid w:val="00C83483"/>
    <w:rsid w:val="00C83CBE"/>
    <w:rsid w:val="00C83DE7"/>
    <w:rsid w:val="00C863A3"/>
    <w:rsid w:val="00C8771B"/>
    <w:rsid w:val="00C90001"/>
    <w:rsid w:val="00C902EE"/>
    <w:rsid w:val="00C90767"/>
    <w:rsid w:val="00C91A0F"/>
    <w:rsid w:val="00C9446E"/>
    <w:rsid w:val="00C94634"/>
    <w:rsid w:val="00C94F66"/>
    <w:rsid w:val="00C94FFC"/>
    <w:rsid w:val="00C95E39"/>
    <w:rsid w:val="00C974A4"/>
    <w:rsid w:val="00C9795E"/>
    <w:rsid w:val="00C97985"/>
    <w:rsid w:val="00C97BCA"/>
    <w:rsid w:val="00CA08DE"/>
    <w:rsid w:val="00CA0FAF"/>
    <w:rsid w:val="00CA285B"/>
    <w:rsid w:val="00CA3818"/>
    <w:rsid w:val="00CA3ADE"/>
    <w:rsid w:val="00CA5545"/>
    <w:rsid w:val="00CA5BCF"/>
    <w:rsid w:val="00CA61B6"/>
    <w:rsid w:val="00CA7859"/>
    <w:rsid w:val="00CB13D1"/>
    <w:rsid w:val="00CB25CD"/>
    <w:rsid w:val="00CB302B"/>
    <w:rsid w:val="00CB3261"/>
    <w:rsid w:val="00CB336C"/>
    <w:rsid w:val="00CB5CEF"/>
    <w:rsid w:val="00CB6711"/>
    <w:rsid w:val="00CC1898"/>
    <w:rsid w:val="00CC234C"/>
    <w:rsid w:val="00CC301D"/>
    <w:rsid w:val="00CC374A"/>
    <w:rsid w:val="00CC4860"/>
    <w:rsid w:val="00CC5114"/>
    <w:rsid w:val="00CC5BB1"/>
    <w:rsid w:val="00CC74AB"/>
    <w:rsid w:val="00CD02F7"/>
    <w:rsid w:val="00CD1B1F"/>
    <w:rsid w:val="00CD296F"/>
    <w:rsid w:val="00CD33D7"/>
    <w:rsid w:val="00CD474E"/>
    <w:rsid w:val="00CD70FD"/>
    <w:rsid w:val="00CD7FDE"/>
    <w:rsid w:val="00CE0788"/>
    <w:rsid w:val="00CE1498"/>
    <w:rsid w:val="00CE16BA"/>
    <w:rsid w:val="00CE1D48"/>
    <w:rsid w:val="00CE2297"/>
    <w:rsid w:val="00CE2BDB"/>
    <w:rsid w:val="00CE3CAF"/>
    <w:rsid w:val="00CE5037"/>
    <w:rsid w:val="00CE6C77"/>
    <w:rsid w:val="00CE70E3"/>
    <w:rsid w:val="00CE76B1"/>
    <w:rsid w:val="00CE78E8"/>
    <w:rsid w:val="00CE7C95"/>
    <w:rsid w:val="00CF0415"/>
    <w:rsid w:val="00CF146B"/>
    <w:rsid w:val="00CF4035"/>
    <w:rsid w:val="00CF512C"/>
    <w:rsid w:val="00CF5144"/>
    <w:rsid w:val="00CF6272"/>
    <w:rsid w:val="00CF77AE"/>
    <w:rsid w:val="00D00AF2"/>
    <w:rsid w:val="00D00E32"/>
    <w:rsid w:val="00D00EE5"/>
    <w:rsid w:val="00D0305E"/>
    <w:rsid w:val="00D03EAB"/>
    <w:rsid w:val="00D03FAB"/>
    <w:rsid w:val="00D06B4F"/>
    <w:rsid w:val="00D106ED"/>
    <w:rsid w:val="00D13DCF"/>
    <w:rsid w:val="00D14A04"/>
    <w:rsid w:val="00D15185"/>
    <w:rsid w:val="00D16676"/>
    <w:rsid w:val="00D17356"/>
    <w:rsid w:val="00D209EF"/>
    <w:rsid w:val="00D21F65"/>
    <w:rsid w:val="00D22967"/>
    <w:rsid w:val="00D243B9"/>
    <w:rsid w:val="00D24F92"/>
    <w:rsid w:val="00D31AF3"/>
    <w:rsid w:val="00D3216F"/>
    <w:rsid w:val="00D32ABF"/>
    <w:rsid w:val="00D334C7"/>
    <w:rsid w:val="00D35EB9"/>
    <w:rsid w:val="00D36DDD"/>
    <w:rsid w:val="00D37BF9"/>
    <w:rsid w:val="00D40ADD"/>
    <w:rsid w:val="00D4174B"/>
    <w:rsid w:val="00D421B3"/>
    <w:rsid w:val="00D4393A"/>
    <w:rsid w:val="00D4407F"/>
    <w:rsid w:val="00D44634"/>
    <w:rsid w:val="00D448AC"/>
    <w:rsid w:val="00D5002A"/>
    <w:rsid w:val="00D50B20"/>
    <w:rsid w:val="00D52974"/>
    <w:rsid w:val="00D52F3C"/>
    <w:rsid w:val="00D52F65"/>
    <w:rsid w:val="00D55E4B"/>
    <w:rsid w:val="00D5607C"/>
    <w:rsid w:val="00D56F98"/>
    <w:rsid w:val="00D573D6"/>
    <w:rsid w:val="00D603EC"/>
    <w:rsid w:val="00D60A52"/>
    <w:rsid w:val="00D62945"/>
    <w:rsid w:val="00D6297F"/>
    <w:rsid w:val="00D64C62"/>
    <w:rsid w:val="00D653C3"/>
    <w:rsid w:val="00D65F19"/>
    <w:rsid w:val="00D6717C"/>
    <w:rsid w:val="00D67650"/>
    <w:rsid w:val="00D70929"/>
    <w:rsid w:val="00D70A12"/>
    <w:rsid w:val="00D719CF"/>
    <w:rsid w:val="00D72248"/>
    <w:rsid w:val="00D7691B"/>
    <w:rsid w:val="00D8080B"/>
    <w:rsid w:val="00D81291"/>
    <w:rsid w:val="00D81F82"/>
    <w:rsid w:val="00D82A12"/>
    <w:rsid w:val="00D84D4A"/>
    <w:rsid w:val="00D84D4B"/>
    <w:rsid w:val="00D85483"/>
    <w:rsid w:val="00D8597F"/>
    <w:rsid w:val="00D8601B"/>
    <w:rsid w:val="00D9035E"/>
    <w:rsid w:val="00D9114B"/>
    <w:rsid w:val="00D92A5A"/>
    <w:rsid w:val="00D9319B"/>
    <w:rsid w:val="00D935F2"/>
    <w:rsid w:val="00D940A2"/>
    <w:rsid w:val="00D944FA"/>
    <w:rsid w:val="00D96771"/>
    <w:rsid w:val="00D970C3"/>
    <w:rsid w:val="00D97F4F"/>
    <w:rsid w:val="00DA000A"/>
    <w:rsid w:val="00DA049B"/>
    <w:rsid w:val="00DA0DF6"/>
    <w:rsid w:val="00DA1AC1"/>
    <w:rsid w:val="00DA2F48"/>
    <w:rsid w:val="00DA3D27"/>
    <w:rsid w:val="00DA3F8E"/>
    <w:rsid w:val="00DA546F"/>
    <w:rsid w:val="00DA713C"/>
    <w:rsid w:val="00DA779C"/>
    <w:rsid w:val="00DB203F"/>
    <w:rsid w:val="00DB2AB4"/>
    <w:rsid w:val="00DB330E"/>
    <w:rsid w:val="00DB3467"/>
    <w:rsid w:val="00DB49F8"/>
    <w:rsid w:val="00DB4D88"/>
    <w:rsid w:val="00DC0F47"/>
    <w:rsid w:val="00DC179F"/>
    <w:rsid w:val="00DC21DD"/>
    <w:rsid w:val="00DC24EE"/>
    <w:rsid w:val="00DC2D60"/>
    <w:rsid w:val="00DC3675"/>
    <w:rsid w:val="00DC4D4F"/>
    <w:rsid w:val="00DC578F"/>
    <w:rsid w:val="00DC6DCE"/>
    <w:rsid w:val="00DC7257"/>
    <w:rsid w:val="00DC7994"/>
    <w:rsid w:val="00DD1B45"/>
    <w:rsid w:val="00DD1CD6"/>
    <w:rsid w:val="00DD62AC"/>
    <w:rsid w:val="00DD67BF"/>
    <w:rsid w:val="00DD7997"/>
    <w:rsid w:val="00DD7CA8"/>
    <w:rsid w:val="00DD7F3B"/>
    <w:rsid w:val="00DE100E"/>
    <w:rsid w:val="00DE24AB"/>
    <w:rsid w:val="00DE4C5E"/>
    <w:rsid w:val="00DE6AD7"/>
    <w:rsid w:val="00DE7076"/>
    <w:rsid w:val="00DF0830"/>
    <w:rsid w:val="00DF207F"/>
    <w:rsid w:val="00DF2350"/>
    <w:rsid w:val="00DF4386"/>
    <w:rsid w:val="00DF4770"/>
    <w:rsid w:val="00DF5571"/>
    <w:rsid w:val="00DF56C4"/>
    <w:rsid w:val="00DF611B"/>
    <w:rsid w:val="00E001A2"/>
    <w:rsid w:val="00E0175A"/>
    <w:rsid w:val="00E023A3"/>
    <w:rsid w:val="00E03C96"/>
    <w:rsid w:val="00E0656E"/>
    <w:rsid w:val="00E06A52"/>
    <w:rsid w:val="00E07C52"/>
    <w:rsid w:val="00E10327"/>
    <w:rsid w:val="00E10A8E"/>
    <w:rsid w:val="00E10F0A"/>
    <w:rsid w:val="00E11191"/>
    <w:rsid w:val="00E122BF"/>
    <w:rsid w:val="00E1315C"/>
    <w:rsid w:val="00E157E1"/>
    <w:rsid w:val="00E16E69"/>
    <w:rsid w:val="00E21376"/>
    <w:rsid w:val="00E21A7A"/>
    <w:rsid w:val="00E2200A"/>
    <w:rsid w:val="00E23157"/>
    <w:rsid w:val="00E248D2"/>
    <w:rsid w:val="00E26E96"/>
    <w:rsid w:val="00E30394"/>
    <w:rsid w:val="00E3498D"/>
    <w:rsid w:val="00E34D23"/>
    <w:rsid w:val="00E3536D"/>
    <w:rsid w:val="00E354F4"/>
    <w:rsid w:val="00E355BA"/>
    <w:rsid w:val="00E35841"/>
    <w:rsid w:val="00E3585F"/>
    <w:rsid w:val="00E358FF"/>
    <w:rsid w:val="00E35B37"/>
    <w:rsid w:val="00E36A2D"/>
    <w:rsid w:val="00E36D1D"/>
    <w:rsid w:val="00E426AD"/>
    <w:rsid w:val="00E43D53"/>
    <w:rsid w:val="00E442EF"/>
    <w:rsid w:val="00E4464E"/>
    <w:rsid w:val="00E4543D"/>
    <w:rsid w:val="00E459CE"/>
    <w:rsid w:val="00E45A3A"/>
    <w:rsid w:val="00E47FB8"/>
    <w:rsid w:val="00E50187"/>
    <w:rsid w:val="00E51D91"/>
    <w:rsid w:val="00E52511"/>
    <w:rsid w:val="00E528B7"/>
    <w:rsid w:val="00E52C79"/>
    <w:rsid w:val="00E53F5C"/>
    <w:rsid w:val="00E53FEF"/>
    <w:rsid w:val="00E54235"/>
    <w:rsid w:val="00E544DF"/>
    <w:rsid w:val="00E56343"/>
    <w:rsid w:val="00E57C97"/>
    <w:rsid w:val="00E60145"/>
    <w:rsid w:val="00E64028"/>
    <w:rsid w:val="00E64D4D"/>
    <w:rsid w:val="00E64E40"/>
    <w:rsid w:val="00E66814"/>
    <w:rsid w:val="00E71700"/>
    <w:rsid w:val="00E71C11"/>
    <w:rsid w:val="00E73FFA"/>
    <w:rsid w:val="00E776A5"/>
    <w:rsid w:val="00E80550"/>
    <w:rsid w:val="00E80EED"/>
    <w:rsid w:val="00E82222"/>
    <w:rsid w:val="00E830BC"/>
    <w:rsid w:val="00E83261"/>
    <w:rsid w:val="00E83370"/>
    <w:rsid w:val="00E83F7D"/>
    <w:rsid w:val="00E840D3"/>
    <w:rsid w:val="00E8447A"/>
    <w:rsid w:val="00E849BE"/>
    <w:rsid w:val="00E84B1A"/>
    <w:rsid w:val="00E84E2B"/>
    <w:rsid w:val="00E855A3"/>
    <w:rsid w:val="00E85AC3"/>
    <w:rsid w:val="00E85BC4"/>
    <w:rsid w:val="00E93B68"/>
    <w:rsid w:val="00E93E67"/>
    <w:rsid w:val="00E94174"/>
    <w:rsid w:val="00E9429A"/>
    <w:rsid w:val="00E94AD9"/>
    <w:rsid w:val="00E94B67"/>
    <w:rsid w:val="00E95467"/>
    <w:rsid w:val="00EA0541"/>
    <w:rsid w:val="00EA0F26"/>
    <w:rsid w:val="00EA1015"/>
    <w:rsid w:val="00EA1DEE"/>
    <w:rsid w:val="00EA21E2"/>
    <w:rsid w:val="00EA247B"/>
    <w:rsid w:val="00EA2A21"/>
    <w:rsid w:val="00EA3026"/>
    <w:rsid w:val="00EA34CC"/>
    <w:rsid w:val="00EA4C7E"/>
    <w:rsid w:val="00EB2041"/>
    <w:rsid w:val="00EB2FFC"/>
    <w:rsid w:val="00EB407F"/>
    <w:rsid w:val="00EB4400"/>
    <w:rsid w:val="00EB4B3D"/>
    <w:rsid w:val="00EB64F5"/>
    <w:rsid w:val="00EB65B1"/>
    <w:rsid w:val="00EB6E2B"/>
    <w:rsid w:val="00EB6F41"/>
    <w:rsid w:val="00EB7811"/>
    <w:rsid w:val="00EC1DE4"/>
    <w:rsid w:val="00EC22FE"/>
    <w:rsid w:val="00EC28A5"/>
    <w:rsid w:val="00EC34DC"/>
    <w:rsid w:val="00EC3B06"/>
    <w:rsid w:val="00EC3C46"/>
    <w:rsid w:val="00EC3E99"/>
    <w:rsid w:val="00EC712D"/>
    <w:rsid w:val="00EC72F7"/>
    <w:rsid w:val="00EC7687"/>
    <w:rsid w:val="00EC7D94"/>
    <w:rsid w:val="00ED1773"/>
    <w:rsid w:val="00ED2BD8"/>
    <w:rsid w:val="00ED2E5A"/>
    <w:rsid w:val="00ED31C7"/>
    <w:rsid w:val="00ED5250"/>
    <w:rsid w:val="00ED635D"/>
    <w:rsid w:val="00ED68AB"/>
    <w:rsid w:val="00ED6E5E"/>
    <w:rsid w:val="00EE17DB"/>
    <w:rsid w:val="00EE1F05"/>
    <w:rsid w:val="00EE21B1"/>
    <w:rsid w:val="00EE29AE"/>
    <w:rsid w:val="00EE4FEF"/>
    <w:rsid w:val="00EE6FC9"/>
    <w:rsid w:val="00EE775C"/>
    <w:rsid w:val="00EF0DC5"/>
    <w:rsid w:val="00EF314E"/>
    <w:rsid w:val="00EF31FB"/>
    <w:rsid w:val="00EF504E"/>
    <w:rsid w:val="00EF7D1B"/>
    <w:rsid w:val="00F00991"/>
    <w:rsid w:val="00F01B9C"/>
    <w:rsid w:val="00F01FEE"/>
    <w:rsid w:val="00F0498B"/>
    <w:rsid w:val="00F04C13"/>
    <w:rsid w:val="00F06491"/>
    <w:rsid w:val="00F06F4E"/>
    <w:rsid w:val="00F108F2"/>
    <w:rsid w:val="00F136FF"/>
    <w:rsid w:val="00F13AEE"/>
    <w:rsid w:val="00F14501"/>
    <w:rsid w:val="00F1557C"/>
    <w:rsid w:val="00F160C3"/>
    <w:rsid w:val="00F1761F"/>
    <w:rsid w:val="00F20273"/>
    <w:rsid w:val="00F222E5"/>
    <w:rsid w:val="00F249DC"/>
    <w:rsid w:val="00F2711A"/>
    <w:rsid w:val="00F27631"/>
    <w:rsid w:val="00F312B0"/>
    <w:rsid w:val="00F3138E"/>
    <w:rsid w:val="00F32CA8"/>
    <w:rsid w:val="00F33189"/>
    <w:rsid w:val="00F33270"/>
    <w:rsid w:val="00F3344B"/>
    <w:rsid w:val="00F337DE"/>
    <w:rsid w:val="00F34619"/>
    <w:rsid w:val="00F34B81"/>
    <w:rsid w:val="00F3542C"/>
    <w:rsid w:val="00F356C7"/>
    <w:rsid w:val="00F36679"/>
    <w:rsid w:val="00F36CF5"/>
    <w:rsid w:val="00F4039A"/>
    <w:rsid w:val="00F41584"/>
    <w:rsid w:val="00F41DE7"/>
    <w:rsid w:val="00F42915"/>
    <w:rsid w:val="00F42AAD"/>
    <w:rsid w:val="00F43073"/>
    <w:rsid w:val="00F446F5"/>
    <w:rsid w:val="00F45708"/>
    <w:rsid w:val="00F46122"/>
    <w:rsid w:val="00F467DA"/>
    <w:rsid w:val="00F47D61"/>
    <w:rsid w:val="00F50EE6"/>
    <w:rsid w:val="00F52A02"/>
    <w:rsid w:val="00F5370A"/>
    <w:rsid w:val="00F57572"/>
    <w:rsid w:val="00F621F3"/>
    <w:rsid w:val="00F623FB"/>
    <w:rsid w:val="00F645DE"/>
    <w:rsid w:val="00F66605"/>
    <w:rsid w:val="00F666D6"/>
    <w:rsid w:val="00F672EC"/>
    <w:rsid w:val="00F6762D"/>
    <w:rsid w:val="00F67934"/>
    <w:rsid w:val="00F7018B"/>
    <w:rsid w:val="00F70AD8"/>
    <w:rsid w:val="00F70C11"/>
    <w:rsid w:val="00F71760"/>
    <w:rsid w:val="00F71902"/>
    <w:rsid w:val="00F756AE"/>
    <w:rsid w:val="00F75722"/>
    <w:rsid w:val="00F75CDB"/>
    <w:rsid w:val="00F76ADA"/>
    <w:rsid w:val="00F77139"/>
    <w:rsid w:val="00F815CD"/>
    <w:rsid w:val="00F822BF"/>
    <w:rsid w:val="00F82626"/>
    <w:rsid w:val="00F84470"/>
    <w:rsid w:val="00F84EB3"/>
    <w:rsid w:val="00F85379"/>
    <w:rsid w:val="00F85F8F"/>
    <w:rsid w:val="00F87A63"/>
    <w:rsid w:val="00F905D4"/>
    <w:rsid w:val="00F9084B"/>
    <w:rsid w:val="00F90D37"/>
    <w:rsid w:val="00F91339"/>
    <w:rsid w:val="00F91462"/>
    <w:rsid w:val="00F94816"/>
    <w:rsid w:val="00F94EF5"/>
    <w:rsid w:val="00F955A2"/>
    <w:rsid w:val="00F96217"/>
    <w:rsid w:val="00F96229"/>
    <w:rsid w:val="00F97A06"/>
    <w:rsid w:val="00FA005A"/>
    <w:rsid w:val="00FA2679"/>
    <w:rsid w:val="00FA3C5E"/>
    <w:rsid w:val="00FA482D"/>
    <w:rsid w:val="00FA4BD2"/>
    <w:rsid w:val="00FA5131"/>
    <w:rsid w:val="00FA5281"/>
    <w:rsid w:val="00FA559A"/>
    <w:rsid w:val="00FA6FEB"/>
    <w:rsid w:val="00FB0E4E"/>
    <w:rsid w:val="00FB189D"/>
    <w:rsid w:val="00FB20C8"/>
    <w:rsid w:val="00FB3130"/>
    <w:rsid w:val="00FB609F"/>
    <w:rsid w:val="00FB6273"/>
    <w:rsid w:val="00FC0604"/>
    <w:rsid w:val="00FC12DC"/>
    <w:rsid w:val="00FC1B7A"/>
    <w:rsid w:val="00FC2A36"/>
    <w:rsid w:val="00FC303F"/>
    <w:rsid w:val="00FC3230"/>
    <w:rsid w:val="00FC3B27"/>
    <w:rsid w:val="00FC4552"/>
    <w:rsid w:val="00FC5AE2"/>
    <w:rsid w:val="00FC7EE7"/>
    <w:rsid w:val="00FD1BC7"/>
    <w:rsid w:val="00FD1DC4"/>
    <w:rsid w:val="00FD2B86"/>
    <w:rsid w:val="00FD4A34"/>
    <w:rsid w:val="00FD5B67"/>
    <w:rsid w:val="00FD6074"/>
    <w:rsid w:val="00FD6FDC"/>
    <w:rsid w:val="00FE1803"/>
    <w:rsid w:val="00FE1E13"/>
    <w:rsid w:val="00FE296C"/>
    <w:rsid w:val="00FE4B36"/>
    <w:rsid w:val="00FE5DE0"/>
    <w:rsid w:val="00FE6A23"/>
    <w:rsid w:val="00FE7315"/>
    <w:rsid w:val="00FE774A"/>
    <w:rsid w:val="00FF141C"/>
    <w:rsid w:val="00FF1EED"/>
    <w:rsid w:val="00FF2442"/>
    <w:rsid w:val="00FF34AF"/>
    <w:rsid w:val="00FF34D3"/>
    <w:rsid w:val="00FF398F"/>
    <w:rsid w:val="00FF48EC"/>
    <w:rsid w:val="00FF6111"/>
    <w:rsid w:val="00FF6A46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08"/>
    <w:pPr>
      <w:spacing w:before="120" w:line="276" w:lineRule="auto"/>
      <w:jc w:val="both"/>
    </w:pPr>
    <w:rPr>
      <w:rFonts w:eastAsia="Arial Unicode MS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A26EB"/>
    <w:pPr>
      <w:keepNext/>
      <w:keepLines/>
      <w:numPr>
        <w:numId w:val="25"/>
      </w:numPr>
      <w:spacing w:before="480" w:after="120"/>
      <w:ind w:left="432"/>
      <w:outlineLvl w:val="0"/>
    </w:pPr>
    <w:rPr>
      <w:rFonts w:ascii="Arial" w:eastAsiaTheme="majorEastAsia" w:hAnsi="Arial" w:cs="Arial"/>
      <w:b/>
      <w:bCs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A26EB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26EB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26EB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26EB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26EB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26EB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26EB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26EB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6EB"/>
    <w:rPr>
      <w:rFonts w:ascii="Arial" w:eastAsiaTheme="majorEastAsia" w:hAnsi="Arial" w:cs="Arial"/>
      <w:b/>
      <w:bCs/>
      <w:sz w:val="36"/>
      <w:szCs w:val="32"/>
      <w:u w:color="000000"/>
    </w:rPr>
  </w:style>
  <w:style w:type="character" w:styleId="Siln">
    <w:name w:val="Strong"/>
    <w:basedOn w:val="Standardnpsmoodstavce"/>
    <w:uiPriority w:val="22"/>
    <w:qFormat/>
    <w:rsid w:val="00754A08"/>
    <w:rPr>
      <w:b/>
      <w:bCs/>
      <w:sz w:val="36"/>
      <w:szCs w:val="36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754A08"/>
    <w:pPr>
      <w:spacing w:after="120"/>
      <w:ind w:left="720" w:hanging="284"/>
      <w:contextualSpacing/>
    </w:pPr>
    <w:rPr>
      <w:rFonts w:ascii="Calibri" w:hAnsi="Calibri" w:cs="Calibri"/>
      <w:lang w:eastAsia="en-US"/>
    </w:rPr>
  </w:style>
  <w:style w:type="paragraph" w:styleId="Nzev">
    <w:name w:val="Title"/>
    <w:basedOn w:val="Normln"/>
    <w:next w:val="Normln"/>
    <w:link w:val="NzevChar"/>
    <w:qFormat/>
    <w:rsid w:val="00754A0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54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4A08"/>
    <w:pPr>
      <w:numPr>
        <w:ilvl w:val="1"/>
      </w:numPr>
      <w:spacing w:before="0" w:line="240" w:lineRule="auto"/>
      <w:jc w:val="center"/>
    </w:pPr>
    <w:rPr>
      <w:rFonts w:ascii="Arial" w:eastAsiaTheme="majorEastAsia" w:hAnsi="Arial" w:cs="Arial"/>
      <w:b/>
      <w:iCs/>
      <w:spacing w:val="15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754A08"/>
    <w:rPr>
      <w:rFonts w:ascii="Arial" w:eastAsiaTheme="majorEastAsia" w:hAnsi="Arial" w:cs="Arial"/>
      <w:b/>
      <w:iCs/>
      <w:spacing w:val="15"/>
      <w:sz w:val="36"/>
      <w:szCs w:val="36"/>
      <w:u w:color="00000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9D4DE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9D4DEB"/>
    <w:rPr>
      <w:rFonts w:eastAsia="Arial Unicode MS"/>
      <w:u w:color="00000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Légende;Char Car Car Car Car,PGI Fußnote Ziffer,Légende.Char Car Car Car Car,R"/>
    <w:basedOn w:val="Standardnpsmoodstavce"/>
    <w:uiPriority w:val="99"/>
    <w:unhideWhenUsed/>
    <w:rsid w:val="009D4DE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3736CE"/>
    <w:pPr>
      <w:numPr>
        <w:numId w:val="0"/>
      </w:numPr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736C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736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6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6CE"/>
    <w:rPr>
      <w:rFonts w:ascii="Tahoma" w:eastAsia="Arial Unicode MS" w:hAnsi="Tahoma" w:cs="Tahoma"/>
      <w:sz w:val="16"/>
      <w:szCs w:val="16"/>
      <w:u w:color="000000"/>
    </w:rPr>
  </w:style>
  <w:style w:type="table" w:styleId="Mkatabulky">
    <w:name w:val="Table Grid"/>
    <w:basedOn w:val="Normlntabulka"/>
    <w:uiPriority w:val="59"/>
    <w:rsid w:val="0085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724E7F"/>
    <w:pPr>
      <w:spacing w:after="40" w:line="240" w:lineRule="auto"/>
      <w:ind w:left="142"/>
    </w:pPr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A26EB"/>
    <w:rPr>
      <w:rFonts w:ascii="Arial" w:eastAsiaTheme="majorEastAsia" w:hAnsi="Arial" w:cs="Arial"/>
      <w:b/>
      <w:bCs/>
      <w:sz w:val="28"/>
      <w:szCs w:val="28"/>
      <w:u w:color="000000"/>
    </w:rPr>
  </w:style>
  <w:style w:type="paragraph" w:customStyle="1" w:styleId="Odstavecseseznamem1">
    <w:name w:val="Odstavec se seznamem1"/>
    <w:basedOn w:val="Normln"/>
    <w:link w:val="ListParagraphChar"/>
    <w:uiPriority w:val="34"/>
    <w:qFormat/>
    <w:rsid w:val="00923C91"/>
    <w:pPr>
      <w:spacing w:before="0" w:after="200"/>
      <w:ind w:left="720"/>
      <w:jc w:val="left"/>
    </w:pPr>
    <w:rPr>
      <w:rFonts w:ascii="Calibri" w:eastAsia="Times New Roman" w:hAnsi="Calibri" w:cs="Calibri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uiPriority w:val="34"/>
    <w:locked/>
    <w:rsid w:val="00923C91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79A"/>
    <w:rPr>
      <w:rFonts w:eastAsia="Arial Unicode MS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79A"/>
    <w:rPr>
      <w:rFonts w:eastAsia="Arial Unicode MS"/>
      <w:sz w:val="22"/>
      <w:szCs w:val="22"/>
      <w:u w:color="000000"/>
    </w:rPr>
  </w:style>
  <w:style w:type="paragraph" w:customStyle="1" w:styleId="List0">
    <w:name w:val="List 0"/>
    <w:basedOn w:val="Normln"/>
    <w:semiHidden/>
    <w:rsid w:val="00E06A52"/>
    <w:pPr>
      <w:numPr>
        <w:numId w:val="1"/>
      </w:numPr>
      <w:spacing w:before="0" w:line="240" w:lineRule="auto"/>
      <w:jc w:val="left"/>
    </w:pPr>
    <w:rPr>
      <w:rFonts w:eastAsia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1870D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0D9"/>
    <w:rPr>
      <w:rFonts w:ascii="Arial" w:hAnsi="Arial" w:cs="Arial"/>
    </w:rPr>
  </w:style>
  <w:style w:type="paragraph" w:styleId="Textkomente">
    <w:name w:val="annotation text"/>
    <w:basedOn w:val="Normln"/>
    <w:link w:val="TextkomenteChar"/>
    <w:uiPriority w:val="99"/>
    <w:semiHidden/>
    <w:rsid w:val="001870D9"/>
    <w:pPr>
      <w:spacing w:before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1870D9"/>
    <w:rPr>
      <w:rFonts w:eastAsia="Arial Unicode MS"/>
      <w:u w:color="000000"/>
    </w:rPr>
  </w:style>
  <w:style w:type="paragraph" w:styleId="Bezmezer">
    <w:name w:val="No Spacing"/>
    <w:uiPriority w:val="1"/>
    <w:qFormat/>
    <w:rsid w:val="00CD02F7"/>
    <w:pPr>
      <w:jc w:val="both"/>
    </w:pPr>
    <w:rPr>
      <w:rFonts w:eastAsia="Arial Unicode MS"/>
      <w:sz w:val="22"/>
      <w:szCs w:val="22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8A145C"/>
    <w:pPr>
      <w:spacing w:before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145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3016BD"/>
    <w:rPr>
      <w:rFonts w:ascii="Calibri" w:eastAsia="Arial Unicode MS" w:hAnsi="Calibri" w:cs="Calibri"/>
      <w:sz w:val="22"/>
      <w:szCs w:val="22"/>
      <w:u w:color="000000"/>
      <w:lang w:eastAsia="en-US"/>
    </w:rPr>
  </w:style>
  <w:style w:type="paragraph" w:customStyle="1" w:styleId="Seznam">
    <w:name w:val="*Seznam"/>
    <w:basedOn w:val="Zkladntext"/>
    <w:rsid w:val="006D0810"/>
    <w:pPr>
      <w:numPr>
        <w:numId w:val="3"/>
      </w:numPr>
      <w:tabs>
        <w:tab w:val="clear" w:pos="720"/>
      </w:tabs>
      <w:overflowPunct w:val="0"/>
      <w:autoSpaceDE w:val="0"/>
      <w:autoSpaceDN w:val="0"/>
      <w:adjustRightInd w:val="0"/>
      <w:spacing w:line="240" w:lineRule="auto"/>
      <w:ind w:left="714" w:hanging="357"/>
      <w:contextualSpacing/>
      <w:jc w:val="left"/>
      <w:textAlignment w:val="baseline"/>
    </w:pPr>
    <w:rPr>
      <w:rFonts w:eastAsia="Times New Roman"/>
      <w:sz w:val="24"/>
      <w:szCs w:val="20"/>
    </w:rPr>
  </w:style>
  <w:style w:type="paragraph" w:customStyle="1" w:styleId="TextNOK">
    <w:name w:val="Text NOK"/>
    <w:basedOn w:val="Normln"/>
    <w:link w:val="TextNOKChar"/>
    <w:uiPriority w:val="99"/>
    <w:qFormat/>
    <w:rsid w:val="006D0810"/>
    <w:pPr>
      <w:spacing w:before="60" w:after="60" w:line="312" w:lineRule="auto"/>
    </w:pPr>
    <w:rPr>
      <w:rFonts w:eastAsia="Times New Roman"/>
      <w:szCs w:val="24"/>
    </w:rPr>
  </w:style>
  <w:style w:type="character" w:customStyle="1" w:styleId="TextNOKChar">
    <w:name w:val="Text NOK Char"/>
    <w:basedOn w:val="Standardnpsmoodstavce"/>
    <w:link w:val="TextNOK"/>
    <w:uiPriority w:val="99"/>
    <w:locked/>
    <w:rsid w:val="006D0810"/>
    <w:rPr>
      <w:sz w:val="2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810"/>
    <w:rPr>
      <w:rFonts w:eastAsia="Arial Unicode MS"/>
      <w:sz w:val="22"/>
      <w:szCs w:val="22"/>
      <w:u w:color="000000"/>
    </w:rPr>
  </w:style>
  <w:style w:type="paragraph" w:customStyle="1" w:styleId="Styl2">
    <w:name w:val="Styl2"/>
    <w:basedOn w:val="Normln"/>
    <w:qFormat/>
    <w:rsid w:val="00123789"/>
    <w:pPr>
      <w:spacing w:before="60" w:after="60" w:line="288" w:lineRule="auto"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23289"/>
    <w:rPr>
      <w:rFonts w:eastAsia="Arial Unicode MS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/>
    <w:unhideWhenUsed/>
    <w:rsid w:val="00FC1B7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0716F1"/>
    <w:pPr>
      <w:spacing w:after="100"/>
      <w:ind w:left="220"/>
    </w:pPr>
  </w:style>
  <w:style w:type="paragraph" w:customStyle="1" w:styleId="Tabulka">
    <w:name w:val="Tabulka"/>
    <w:basedOn w:val="Titulek"/>
    <w:link w:val="TabulkaChar"/>
    <w:qFormat/>
    <w:rsid w:val="00615420"/>
    <w:pPr>
      <w:spacing w:before="0" w:after="200"/>
      <w:ind w:left="0"/>
    </w:pPr>
    <w:rPr>
      <w:rFonts w:eastAsia="Times New Roman"/>
      <w:bCs w:val="0"/>
      <w:color w:val="4F81BD"/>
      <w:sz w:val="24"/>
      <w:szCs w:val="20"/>
    </w:rPr>
  </w:style>
  <w:style w:type="character" w:customStyle="1" w:styleId="TabulkaChar">
    <w:name w:val="Tabulka Char"/>
    <w:link w:val="Tabulka"/>
    <w:locked/>
    <w:rsid w:val="00615420"/>
    <w:rPr>
      <w:b/>
      <w:color w:val="4F81BD"/>
      <w:sz w:val="24"/>
    </w:rPr>
  </w:style>
  <w:style w:type="paragraph" w:customStyle="1" w:styleId="DAVA">
    <w:name w:val="DAVA"/>
    <w:basedOn w:val="Normln"/>
    <w:link w:val="DAVAChar"/>
    <w:qFormat/>
    <w:rsid w:val="00615420"/>
    <w:pPr>
      <w:spacing w:line="240" w:lineRule="auto"/>
      <w:jc w:val="left"/>
    </w:pPr>
    <w:rPr>
      <w:rFonts w:ascii="Arial" w:eastAsia="Times New Roman" w:hAnsi="Arial"/>
      <w:sz w:val="28"/>
      <w:szCs w:val="20"/>
    </w:rPr>
  </w:style>
  <w:style w:type="character" w:customStyle="1" w:styleId="DAVAChar">
    <w:name w:val="DAVA Char"/>
    <w:link w:val="DAVA"/>
    <w:locked/>
    <w:rsid w:val="00615420"/>
    <w:rPr>
      <w:rFonts w:ascii="Arial" w:hAnsi="Arial"/>
      <w:sz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318"/>
    <w:pPr>
      <w:spacing w:before="120"/>
      <w:jc w:val="both"/>
    </w:pPr>
    <w:rPr>
      <w:rFonts w:ascii="Times New Roman" w:eastAsia="Arial Unicode MS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318"/>
    <w:rPr>
      <w:rFonts w:ascii="Arial" w:eastAsia="Arial Unicode MS" w:hAnsi="Arial" w:cs="Arial"/>
      <w:b/>
      <w:bCs/>
      <w:u w:color="000000"/>
    </w:rPr>
  </w:style>
  <w:style w:type="paragraph" w:customStyle="1" w:styleId="111AAA">
    <w:name w:val="111AAA"/>
    <w:basedOn w:val="Normln"/>
    <w:rsid w:val="001F2910"/>
    <w:pPr>
      <w:spacing w:line="240" w:lineRule="auto"/>
    </w:pPr>
    <w:rPr>
      <w:rFonts w:eastAsia="Times New Roman"/>
      <w:sz w:val="24"/>
      <w:szCs w:val="20"/>
    </w:rPr>
  </w:style>
  <w:style w:type="numbering" w:customStyle="1" w:styleId="List1">
    <w:name w:val="List 1"/>
    <w:rsid w:val="00FC7EE7"/>
    <w:pPr>
      <w:numPr>
        <w:numId w:val="4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8073B7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8E75C0"/>
    <w:rPr>
      <w:b/>
      <w:bCs/>
      <w:i w:val="0"/>
      <w:iCs w:val="0"/>
    </w:rPr>
  </w:style>
  <w:style w:type="character" w:customStyle="1" w:styleId="st1">
    <w:name w:val="st1"/>
    <w:basedOn w:val="Standardnpsmoodstavce"/>
    <w:rsid w:val="008E75C0"/>
  </w:style>
  <w:style w:type="character" w:customStyle="1" w:styleId="Nadpis3Char">
    <w:name w:val="Nadpis 3 Char"/>
    <w:basedOn w:val="Standardnpsmoodstavce"/>
    <w:link w:val="Nadpis3"/>
    <w:uiPriority w:val="9"/>
    <w:rsid w:val="008A26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26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26EB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26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u w:color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6E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u w:color="000000"/>
    </w:rPr>
  </w:style>
  <w:style w:type="table" w:customStyle="1" w:styleId="Mkatabulky1">
    <w:name w:val="Mřížka tabulky1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B75627"/>
  </w:style>
  <w:style w:type="character" w:customStyle="1" w:styleId="TitulnstranaChar">
    <w:name w:val="Titulní strana Char"/>
    <w:basedOn w:val="Standardnpsmoodstavce"/>
    <w:link w:val="Titulnstrana"/>
    <w:locked/>
    <w:rsid w:val="004D3259"/>
    <w:rPr>
      <w:rFonts w:ascii="Arial" w:hAnsi="Arial" w:cs="Arial"/>
      <w:b/>
      <w:sz w:val="28"/>
    </w:rPr>
  </w:style>
  <w:style w:type="paragraph" w:customStyle="1" w:styleId="Titulnstrana">
    <w:name w:val="Titulní strana"/>
    <w:basedOn w:val="Normln"/>
    <w:link w:val="TitulnstranaChar"/>
    <w:qFormat/>
    <w:rsid w:val="004D3259"/>
    <w:pPr>
      <w:spacing w:before="0" w:after="120" w:line="264" w:lineRule="auto"/>
      <w:jc w:val="center"/>
    </w:pPr>
    <w:rPr>
      <w:rFonts w:ascii="Arial" w:eastAsia="Times New Roman" w:hAnsi="Arial" w:cs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08"/>
    <w:pPr>
      <w:spacing w:before="120" w:line="276" w:lineRule="auto"/>
      <w:jc w:val="both"/>
    </w:pPr>
    <w:rPr>
      <w:rFonts w:eastAsia="Arial Unicode MS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A26EB"/>
    <w:pPr>
      <w:keepNext/>
      <w:keepLines/>
      <w:numPr>
        <w:numId w:val="25"/>
      </w:numPr>
      <w:spacing w:before="480" w:after="120"/>
      <w:ind w:left="432"/>
      <w:outlineLvl w:val="0"/>
    </w:pPr>
    <w:rPr>
      <w:rFonts w:ascii="Arial" w:eastAsiaTheme="majorEastAsia" w:hAnsi="Arial" w:cs="Arial"/>
      <w:b/>
      <w:bCs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A26EB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26EB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26EB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26EB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26EB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26EB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26EB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26EB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6EB"/>
    <w:rPr>
      <w:rFonts w:ascii="Arial" w:eastAsiaTheme="majorEastAsia" w:hAnsi="Arial" w:cs="Arial"/>
      <w:b/>
      <w:bCs/>
      <w:sz w:val="36"/>
      <w:szCs w:val="32"/>
      <w:u w:color="000000"/>
    </w:rPr>
  </w:style>
  <w:style w:type="character" w:styleId="Siln">
    <w:name w:val="Strong"/>
    <w:basedOn w:val="Standardnpsmoodstavce"/>
    <w:uiPriority w:val="22"/>
    <w:qFormat/>
    <w:rsid w:val="00754A08"/>
    <w:rPr>
      <w:b/>
      <w:bCs/>
      <w:sz w:val="36"/>
      <w:szCs w:val="36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754A08"/>
    <w:pPr>
      <w:spacing w:after="120"/>
      <w:ind w:left="720" w:hanging="284"/>
      <w:contextualSpacing/>
    </w:pPr>
    <w:rPr>
      <w:rFonts w:ascii="Calibri" w:hAnsi="Calibri" w:cs="Calibri"/>
      <w:lang w:eastAsia="en-US"/>
    </w:rPr>
  </w:style>
  <w:style w:type="paragraph" w:styleId="Nzev">
    <w:name w:val="Title"/>
    <w:basedOn w:val="Normln"/>
    <w:next w:val="Normln"/>
    <w:link w:val="NzevChar"/>
    <w:qFormat/>
    <w:rsid w:val="00754A0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54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4A08"/>
    <w:pPr>
      <w:numPr>
        <w:ilvl w:val="1"/>
      </w:numPr>
      <w:spacing w:before="0" w:line="240" w:lineRule="auto"/>
      <w:jc w:val="center"/>
    </w:pPr>
    <w:rPr>
      <w:rFonts w:ascii="Arial" w:eastAsiaTheme="majorEastAsia" w:hAnsi="Arial" w:cs="Arial"/>
      <w:b/>
      <w:iCs/>
      <w:spacing w:val="15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754A08"/>
    <w:rPr>
      <w:rFonts w:ascii="Arial" w:eastAsiaTheme="majorEastAsia" w:hAnsi="Arial" w:cs="Arial"/>
      <w:b/>
      <w:iCs/>
      <w:spacing w:val="15"/>
      <w:sz w:val="36"/>
      <w:szCs w:val="36"/>
      <w:u w:color="00000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9D4DE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9D4DEB"/>
    <w:rPr>
      <w:rFonts w:eastAsia="Arial Unicode MS"/>
      <w:u w:color="00000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Légende;Char Car Car Car Car,PGI Fußnote Ziffer,Légende.Char Car Car Car Car,R"/>
    <w:basedOn w:val="Standardnpsmoodstavce"/>
    <w:uiPriority w:val="99"/>
    <w:unhideWhenUsed/>
    <w:rsid w:val="009D4DE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3736CE"/>
    <w:pPr>
      <w:numPr>
        <w:numId w:val="0"/>
      </w:numPr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736C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736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6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6CE"/>
    <w:rPr>
      <w:rFonts w:ascii="Tahoma" w:eastAsia="Arial Unicode MS" w:hAnsi="Tahoma" w:cs="Tahoma"/>
      <w:sz w:val="16"/>
      <w:szCs w:val="16"/>
      <w:u w:color="000000"/>
    </w:rPr>
  </w:style>
  <w:style w:type="table" w:styleId="Mkatabulky">
    <w:name w:val="Table Grid"/>
    <w:basedOn w:val="Normlntabulka"/>
    <w:uiPriority w:val="59"/>
    <w:rsid w:val="0085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24E7F"/>
    <w:pPr>
      <w:spacing w:after="40" w:line="240" w:lineRule="auto"/>
      <w:ind w:left="142"/>
    </w:pPr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A26EB"/>
    <w:rPr>
      <w:rFonts w:ascii="Arial" w:eastAsiaTheme="majorEastAsia" w:hAnsi="Arial" w:cs="Arial"/>
      <w:b/>
      <w:bCs/>
      <w:sz w:val="28"/>
      <w:szCs w:val="28"/>
      <w:u w:color="000000"/>
    </w:rPr>
  </w:style>
  <w:style w:type="paragraph" w:customStyle="1" w:styleId="Odstavecseseznamem1">
    <w:name w:val="Odstavec se seznamem1"/>
    <w:basedOn w:val="Normln"/>
    <w:link w:val="ListParagraphChar"/>
    <w:uiPriority w:val="34"/>
    <w:qFormat/>
    <w:rsid w:val="00923C91"/>
    <w:pPr>
      <w:spacing w:before="0" w:after="200"/>
      <w:ind w:left="720"/>
      <w:jc w:val="left"/>
    </w:pPr>
    <w:rPr>
      <w:rFonts w:ascii="Calibri" w:eastAsia="Times New Roman" w:hAnsi="Calibri" w:cs="Calibri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uiPriority w:val="34"/>
    <w:locked/>
    <w:rsid w:val="00923C91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79A"/>
    <w:rPr>
      <w:rFonts w:eastAsia="Arial Unicode MS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79A"/>
    <w:rPr>
      <w:rFonts w:eastAsia="Arial Unicode MS"/>
      <w:sz w:val="22"/>
      <w:szCs w:val="22"/>
      <w:u w:color="000000"/>
    </w:rPr>
  </w:style>
  <w:style w:type="paragraph" w:customStyle="1" w:styleId="List0">
    <w:name w:val="List 0"/>
    <w:basedOn w:val="Normln"/>
    <w:semiHidden/>
    <w:rsid w:val="00E06A52"/>
    <w:pPr>
      <w:numPr>
        <w:numId w:val="1"/>
      </w:numPr>
      <w:spacing w:before="0" w:line="240" w:lineRule="auto"/>
      <w:jc w:val="left"/>
    </w:pPr>
    <w:rPr>
      <w:rFonts w:eastAsia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1870D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0D9"/>
    <w:rPr>
      <w:rFonts w:ascii="Arial" w:hAnsi="Arial" w:cs="Arial"/>
    </w:rPr>
  </w:style>
  <w:style w:type="paragraph" w:styleId="Textkomente">
    <w:name w:val="annotation text"/>
    <w:basedOn w:val="Normln"/>
    <w:link w:val="TextkomenteChar"/>
    <w:uiPriority w:val="99"/>
    <w:semiHidden/>
    <w:rsid w:val="001870D9"/>
    <w:pPr>
      <w:spacing w:before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1870D9"/>
    <w:rPr>
      <w:rFonts w:eastAsia="Arial Unicode MS"/>
      <w:u w:color="000000"/>
    </w:rPr>
  </w:style>
  <w:style w:type="paragraph" w:styleId="Bezmezer">
    <w:name w:val="No Spacing"/>
    <w:uiPriority w:val="1"/>
    <w:qFormat/>
    <w:rsid w:val="00CD02F7"/>
    <w:pPr>
      <w:jc w:val="both"/>
    </w:pPr>
    <w:rPr>
      <w:rFonts w:eastAsia="Arial Unicode MS"/>
      <w:sz w:val="22"/>
      <w:szCs w:val="22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8A145C"/>
    <w:pPr>
      <w:spacing w:before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145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3016BD"/>
    <w:rPr>
      <w:rFonts w:ascii="Calibri" w:eastAsia="Arial Unicode MS" w:hAnsi="Calibri" w:cs="Calibri"/>
      <w:sz w:val="22"/>
      <w:szCs w:val="22"/>
      <w:u w:color="000000"/>
      <w:lang w:eastAsia="en-US"/>
    </w:rPr>
  </w:style>
  <w:style w:type="paragraph" w:customStyle="1" w:styleId="Seznam">
    <w:name w:val="*Seznam"/>
    <w:basedOn w:val="Zkladntext"/>
    <w:rsid w:val="006D0810"/>
    <w:pPr>
      <w:numPr>
        <w:numId w:val="3"/>
      </w:numPr>
      <w:tabs>
        <w:tab w:val="clear" w:pos="720"/>
      </w:tabs>
      <w:overflowPunct w:val="0"/>
      <w:autoSpaceDE w:val="0"/>
      <w:autoSpaceDN w:val="0"/>
      <w:adjustRightInd w:val="0"/>
      <w:spacing w:line="240" w:lineRule="auto"/>
      <w:ind w:left="714" w:hanging="357"/>
      <w:contextualSpacing/>
      <w:jc w:val="left"/>
      <w:textAlignment w:val="baseline"/>
    </w:pPr>
    <w:rPr>
      <w:rFonts w:eastAsia="Times New Roman"/>
      <w:sz w:val="24"/>
      <w:szCs w:val="20"/>
    </w:rPr>
  </w:style>
  <w:style w:type="paragraph" w:customStyle="1" w:styleId="TextNOK">
    <w:name w:val="Text NOK"/>
    <w:basedOn w:val="Normln"/>
    <w:link w:val="TextNOKChar"/>
    <w:uiPriority w:val="99"/>
    <w:qFormat/>
    <w:rsid w:val="006D0810"/>
    <w:pPr>
      <w:spacing w:before="60" w:after="60" w:line="312" w:lineRule="auto"/>
    </w:pPr>
    <w:rPr>
      <w:rFonts w:eastAsia="Times New Roman"/>
      <w:szCs w:val="24"/>
    </w:rPr>
  </w:style>
  <w:style w:type="character" w:customStyle="1" w:styleId="TextNOKChar">
    <w:name w:val="Text NOK Char"/>
    <w:basedOn w:val="Standardnpsmoodstavce"/>
    <w:link w:val="TextNOK"/>
    <w:uiPriority w:val="99"/>
    <w:locked/>
    <w:rsid w:val="006D0810"/>
    <w:rPr>
      <w:sz w:val="2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810"/>
    <w:rPr>
      <w:rFonts w:eastAsia="Arial Unicode MS"/>
      <w:sz w:val="22"/>
      <w:szCs w:val="22"/>
      <w:u w:color="000000"/>
    </w:rPr>
  </w:style>
  <w:style w:type="paragraph" w:customStyle="1" w:styleId="Styl2">
    <w:name w:val="Styl2"/>
    <w:basedOn w:val="Normln"/>
    <w:qFormat/>
    <w:rsid w:val="00123789"/>
    <w:pPr>
      <w:spacing w:before="60" w:after="60" w:line="288" w:lineRule="auto"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23289"/>
    <w:rPr>
      <w:rFonts w:eastAsia="Arial Unicode MS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/>
    <w:unhideWhenUsed/>
    <w:rsid w:val="00FC1B7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0716F1"/>
    <w:pPr>
      <w:spacing w:after="100"/>
      <w:ind w:left="220"/>
    </w:pPr>
  </w:style>
  <w:style w:type="paragraph" w:customStyle="1" w:styleId="Tabulka">
    <w:name w:val="Tabulka"/>
    <w:basedOn w:val="Titulek"/>
    <w:link w:val="TabulkaChar"/>
    <w:qFormat/>
    <w:rsid w:val="00615420"/>
    <w:pPr>
      <w:spacing w:before="0" w:after="200"/>
      <w:ind w:left="0"/>
    </w:pPr>
    <w:rPr>
      <w:rFonts w:eastAsia="Times New Roman"/>
      <w:bCs w:val="0"/>
      <w:color w:val="4F81BD"/>
      <w:sz w:val="24"/>
      <w:szCs w:val="20"/>
    </w:rPr>
  </w:style>
  <w:style w:type="character" w:customStyle="1" w:styleId="TabulkaChar">
    <w:name w:val="Tabulka Char"/>
    <w:link w:val="Tabulka"/>
    <w:locked/>
    <w:rsid w:val="00615420"/>
    <w:rPr>
      <w:b/>
      <w:color w:val="4F81BD"/>
      <w:sz w:val="24"/>
    </w:rPr>
  </w:style>
  <w:style w:type="paragraph" w:customStyle="1" w:styleId="DAVA">
    <w:name w:val="DAVA"/>
    <w:basedOn w:val="Normln"/>
    <w:link w:val="DAVAChar"/>
    <w:qFormat/>
    <w:rsid w:val="00615420"/>
    <w:pPr>
      <w:spacing w:line="240" w:lineRule="auto"/>
      <w:jc w:val="left"/>
    </w:pPr>
    <w:rPr>
      <w:rFonts w:ascii="Arial" w:eastAsia="Times New Roman" w:hAnsi="Arial"/>
      <w:sz w:val="28"/>
      <w:szCs w:val="20"/>
    </w:rPr>
  </w:style>
  <w:style w:type="character" w:customStyle="1" w:styleId="DAVAChar">
    <w:name w:val="DAVA Char"/>
    <w:link w:val="DAVA"/>
    <w:locked/>
    <w:rsid w:val="00615420"/>
    <w:rPr>
      <w:rFonts w:ascii="Arial" w:hAnsi="Arial"/>
      <w:sz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318"/>
    <w:pPr>
      <w:spacing w:before="120"/>
      <w:jc w:val="both"/>
    </w:pPr>
    <w:rPr>
      <w:rFonts w:ascii="Times New Roman" w:eastAsia="Arial Unicode MS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318"/>
    <w:rPr>
      <w:rFonts w:ascii="Arial" w:eastAsia="Arial Unicode MS" w:hAnsi="Arial" w:cs="Arial"/>
      <w:b/>
      <w:bCs/>
      <w:u w:color="000000"/>
    </w:rPr>
  </w:style>
  <w:style w:type="paragraph" w:customStyle="1" w:styleId="111AAA">
    <w:name w:val="111AAA"/>
    <w:basedOn w:val="Normln"/>
    <w:rsid w:val="001F2910"/>
    <w:pPr>
      <w:spacing w:line="240" w:lineRule="auto"/>
    </w:pPr>
    <w:rPr>
      <w:rFonts w:eastAsia="Times New Roman"/>
      <w:sz w:val="24"/>
      <w:szCs w:val="20"/>
    </w:rPr>
  </w:style>
  <w:style w:type="numbering" w:customStyle="1" w:styleId="List1">
    <w:name w:val="List 1"/>
    <w:rsid w:val="00FC7EE7"/>
    <w:pPr>
      <w:numPr>
        <w:numId w:val="4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8073B7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8E75C0"/>
    <w:rPr>
      <w:b/>
      <w:bCs/>
      <w:i w:val="0"/>
      <w:iCs w:val="0"/>
    </w:rPr>
  </w:style>
  <w:style w:type="character" w:customStyle="1" w:styleId="st1">
    <w:name w:val="st1"/>
    <w:basedOn w:val="Standardnpsmoodstavce"/>
    <w:rsid w:val="008E75C0"/>
  </w:style>
  <w:style w:type="character" w:customStyle="1" w:styleId="Nadpis3Char">
    <w:name w:val="Nadpis 3 Char"/>
    <w:basedOn w:val="Standardnpsmoodstavce"/>
    <w:link w:val="Nadpis3"/>
    <w:uiPriority w:val="9"/>
    <w:rsid w:val="008A26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26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26EB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26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u w:color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6E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u w:color="000000"/>
    </w:rPr>
  </w:style>
  <w:style w:type="table" w:customStyle="1" w:styleId="Mkatabulky1">
    <w:name w:val="Mřížka tabulky1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5E109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B75627"/>
  </w:style>
  <w:style w:type="character" w:customStyle="1" w:styleId="TitulnstranaChar">
    <w:name w:val="Titulní strana Char"/>
    <w:basedOn w:val="Standardnpsmoodstavce"/>
    <w:link w:val="Titulnstrana"/>
    <w:locked/>
    <w:rsid w:val="004D3259"/>
    <w:rPr>
      <w:rFonts w:ascii="Arial" w:hAnsi="Arial" w:cs="Arial"/>
      <w:b/>
      <w:sz w:val="28"/>
    </w:rPr>
  </w:style>
  <w:style w:type="paragraph" w:customStyle="1" w:styleId="Titulnstrana">
    <w:name w:val="Titulní strana"/>
    <w:basedOn w:val="Normln"/>
    <w:link w:val="TitulnstranaChar"/>
    <w:qFormat/>
    <w:rsid w:val="004D3259"/>
    <w:pPr>
      <w:spacing w:before="0" w:after="120" w:line="264" w:lineRule="auto"/>
      <w:jc w:val="center"/>
    </w:pPr>
    <w:rPr>
      <w:rFonts w:ascii="Arial" w:eastAsia="Times New Roman" w:hAnsi="Arial" w:cs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8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6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0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66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40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27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0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8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5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02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22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0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6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35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89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4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22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67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9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43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4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53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78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14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01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69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25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16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1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6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77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95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7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3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3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68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0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9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53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7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0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5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37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97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74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98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28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7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25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55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334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82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62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0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6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7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1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23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2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80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7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48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0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4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9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3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3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2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4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5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47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01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0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44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1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8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4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1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02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8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80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89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4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2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00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B118-F231-4C4A-B90C-00988370F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8D24E-65AD-4BCB-892F-4290997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5049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</dc:creator>
  <cp:lastModifiedBy>OSPZV3 ospzv3</cp:lastModifiedBy>
  <cp:revision>2</cp:revision>
  <cp:lastPrinted>2015-08-25T11:39:00Z</cp:lastPrinted>
  <dcterms:created xsi:type="dcterms:W3CDTF">2015-09-22T08:55:00Z</dcterms:created>
  <dcterms:modified xsi:type="dcterms:W3CDTF">2015-09-22T08:55:00Z</dcterms:modified>
</cp:coreProperties>
</file>